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outlineLvl w:val="9"/>
        <w:rPr>
          <w:rFonts w:ascii="宋体" w:hAnsi="宋体" w:eastAsia="宋体" w:cs="宋体"/>
          <w:bCs/>
          <w:color w:val="auto"/>
          <w:sz w:val="44"/>
          <w:szCs w:val="44"/>
          <w:highlight w:val="none"/>
          <w:u w:val="single"/>
        </w:rPr>
      </w:pPr>
    </w:p>
    <w:p>
      <w:pPr>
        <w:pStyle w:val="24"/>
        <w:outlineLvl w:val="9"/>
        <w:rPr>
          <w:rFonts w:ascii="宋体" w:hAnsi="宋体" w:eastAsia="宋体" w:cs="宋体"/>
          <w:bCs/>
          <w:color w:val="auto"/>
          <w:sz w:val="44"/>
          <w:szCs w:val="44"/>
          <w:highlight w:val="none"/>
          <w:u w:val="single"/>
        </w:rPr>
      </w:pPr>
    </w:p>
    <w:p>
      <w:pPr>
        <w:pStyle w:val="12"/>
        <w:outlineLvl w:val="9"/>
        <w:rPr>
          <w:highlight w:val="none"/>
        </w:rPr>
      </w:pPr>
    </w:p>
    <w:p>
      <w:pPr>
        <w:spacing w:line="276" w:lineRule="auto"/>
        <w:jc w:val="center"/>
        <w:outlineLvl w:val="9"/>
        <w:rPr>
          <w:rFonts w:hint="eastAsia" w:ascii="仿宋" w:hAnsi="仿宋" w:eastAsia="仿宋" w:cs="仿宋"/>
          <w:bCs/>
          <w:color w:val="auto"/>
          <w:sz w:val="44"/>
          <w:szCs w:val="44"/>
          <w:highlight w:val="none"/>
          <w:u w:val="single"/>
        </w:rPr>
      </w:pPr>
      <w:bookmarkStart w:id="35" w:name="_GoBack"/>
      <w:r>
        <w:rPr>
          <w:rFonts w:hint="eastAsia" w:ascii="仿宋" w:hAnsi="仿宋" w:eastAsia="仿宋" w:cs="仿宋"/>
          <w:b/>
          <w:bCs w:val="0"/>
          <w:color w:val="auto"/>
          <w:sz w:val="52"/>
          <w:szCs w:val="52"/>
          <w:highlight w:val="none"/>
          <w:u w:val="single"/>
          <w:lang w:eastAsia="zh-CN"/>
        </w:rPr>
        <w:t>2024年</w:t>
      </w:r>
      <w:bookmarkEnd w:id="35"/>
      <w:r>
        <w:rPr>
          <w:rFonts w:hint="eastAsia" w:ascii="仿宋" w:hAnsi="仿宋" w:eastAsia="仿宋" w:cs="仿宋"/>
          <w:b/>
          <w:bCs w:val="0"/>
          <w:color w:val="auto"/>
          <w:sz w:val="52"/>
          <w:szCs w:val="52"/>
          <w:highlight w:val="none"/>
          <w:u w:val="single"/>
          <w:lang w:eastAsia="zh-CN"/>
        </w:rPr>
        <w:t>应急物资采购、建筑消防设施检测、消防器材维保服务采购</w:t>
      </w:r>
    </w:p>
    <w:p>
      <w:pPr>
        <w:spacing w:line="276" w:lineRule="auto"/>
        <w:outlineLvl w:val="9"/>
        <w:rPr>
          <w:rFonts w:hint="eastAsia" w:ascii="仿宋" w:hAnsi="仿宋" w:eastAsia="仿宋" w:cs="仿宋"/>
          <w:color w:val="auto"/>
          <w:sz w:val="84"/>
          <w:szCs w:val="84"/>
          <w:highlight w:val="none"/>
        </w:rPr>
      </w:pPr>
    </w:p>
    <w:p>
      <w:pPr>
        <w:spacing w:line="276" w:lineRule="auto"/>
        <w:outlineLvl w:val="9"/>
        <w:rPr>
          <w:rFonts w:hint="eastAsia" w:ascii="仿宋" w:hAnsi="仿宋" w:eastAsia="仿宋" w:cs="仿宋"/>
          <w:color w:val="auto"/>
          <w:sz w:val="84"/>
          <w:szCs w:val="84"/>
          <w:highlight w:val="none"/>
        </w:rPr>
      </w:pPr>
    </w:p>
    <w:p>
      <w:pPr>
        <w:spacing w:line="276" w:lineRule="auto"/>
        <w:jc w:val="center"/>
        <w:outlineLvl w:val="9"/>
        <w:rPr>
          <w:rFonts w:hint="eastAsia" w:ascii="仿宋" w:hAnsi="仿宋" w:eastAsia="仿宋" w:cs="仿宋"/>
          <w:color w:val="auto"/>
          <w:sz w:val="84"/>
          <w:szCs w:val="84"/>
          <w:highlight w:val="none"/>
        </w:rPr>
      </w:pPr>
      <w:r>
        <w:rPr>
          <w:rFonts w:hint="eastAsia" w:ascii="仿宋" w:hAnsi="仿宋" w:eastAsia="仿宋" w:cs="仿宋"/>
          <w:color w:val="auto"/>
          <w:sz w:val="84"/>
          <w:szCs w:val="84"/>
          <w:highlight w:val="none"/>
          <w:lang w:val="en-US" w:eastAsia="zh-CN"/>
        </w:rPr>
        <w:t>竞 价</w:t>
      </w:r>
      <w:r>
        <w:rPr>
          <w:rFonts w:hint="eastAsia" w:ascii="仿宋" w:hAnsi="仿宋" w:eastAsia="仿宋" w:cs="仿宋"/>
          <w:color w:val="auto"/>
          <w:sz w:val="84"/>
          <w:szCs w:val="84"/>
          <w:highlight w:val="none"/>
        </w:rPr>
        <w:t xml:space="preserve"> 文 件</w:t>
      </w:r>
    </w:p>
    <w:p>
      <w:pPr>
        <w:spacing w:line="276" w:lineRule="auto"/>
        <w:outlineLvl w:val="9"/>
        <w:rPr>
          <w:rFonts w:hint="eastAsia" w:ascii="仿宋" w:hAnsi="仿宋" w:eastAsia="仿宋" w:cs="仿宋"/>
          <w:color w:val="auto"/>
          <w:sz w:val="84"/>
          <w:szCs w:val="84"/>
          <w:highlight w:val="none"/>
        </w:rPr>
      </w:pPr>
    </w:p>
    <w:p>
      <w:pPr>
        <w:widowControl w:val="0"/>
        <w:spacing w:after="120"/>
        <w:jc w:val="both"/>
        <w:outlineLvl w:val="9"/>
        <w:rPr>
          <w:rFonts w:hint="eastAsia" w:ascii="仿宋" w:hAnsi="仿宋" w:eastAsia="仿宋" w:cs="仿宋"/>
          <w:color w:val="auto"/>
          <w:kern w:val="2"/>
          <w:sz w:val="21"/>
          <w:szCs w:val="24"/>
          <w:highlight w:val="none"/>
          <w:lang w:val="en-US" w:eastAsia="zh-CN" w:bidi="ar-SA"/>
        </w:rPr>
      </w:pPr>
    </w:p>
    <w:p>
      <w:pPr>
        <w:pStyle w:val="23"/>
        <w:outlineLvl w:val="9"/>
        <w:rPr>
          <w:rFonts w:hint="eastAsia"/>
          <w:highlight w:val="none"/>
          <w:lang w:val="en-US" w:eastAsia="zh-CN"/>
        </w:rPr>
      </w:pPr>
    </w:p>
    <w:p>
      <w:pPr>
        <w:widowControl w:val="0"/>
        <w:ind w:left="420" w:leftChars="200"/>
        <w:jc w:val="both"/>
        <w:outlineLvl w:val="9"/>
        <w:rPr>
          <w:rFonts w:hint="eastAsia" w:ascii="仿宋" w:hAnsi="仿宋" w:eastAsia="仿宋" w:cs="仿宋"/>
          <w:color w:val="auto"/>
          <w:kern w:val="2"/>
          <w:sz w:val="21"/>
          <w:szCs w:val="24"/>
          <w:highlight w:val="none"/>
          <w:lang w:val="en-US" w:eastAsia="zh-CN" w:bidi="ar-SA"/>
        </w:rPr>
      </w:pPr>
    </w:p>
    <w:p>
      <w:pPr>
        <w:outlineLvl w:val="9"/>
        <w:rPr>
          <w:rFonts w:hint="eastAsia" w:ascii="仿宋" w:hAnsi="仿宋" w:eastAsia="仿宋" w:cs="仿宋"/>
          <w:color w:val="auto"/>
          <w:sz w:val="32"/>
          <w:szCs w:val="32"/>
          <w:highlight w:val="none"/>
        </w:rPr>
      </w:pPr>
    </w:p>
    <w:p>
      <w:pPr>
        <w:spacing w:line="360" w:lineRule="auto"/>
        <w:jc w:val="center"/>
        <w:outlineLvl w:val="9"/>
        <w:rPr>
          <w:rFonts w:hint="eastAsia" w:ascii="仿宋" w:hAnsi="仿宋" w:eastAsia="仿宋" w:cs="仿宋"/>
          <w:bCs w:val="0"/>
          <w:color w:val="auto"/>
          <w:sz w:val="32"/>
          <w:szCs w:val="32"/>
          <w:highlight w:val="none"/>
          <w:u w:val="single"/>
          <w:lang w:eastAsia="zh-CN"/>
        </w:rPr>
      </w:pPr>
      <w:r>
        <w:rPr>
          <w:rFonts w:hint="eastAsia" w:ascii="仿宋" w:hAnsi="仿宋" w:eastAsia="仿宋" w:cs="仿宋"/>
          <w:color w:val="auto"/>
          <w:sz w:val="32"/>
          <w:szCs w:val="32"/>
          <w:highlight w:val="none"/>
        </w:rPr>
        <w:t>招 选 人：</w:t>
      </w:r>
      <w:r>
        <w:rPr>
          <w:rFonts w:hint="eastAsia" w:ascii="仿宋" w:hAnsi="仿宋" w:eastAsia="仿宋" w:cs="仿宋"/>
          <w:bCs w:val="0"/>
          <w:color w:val="auto"/>
          <w:sz w:val="32"/>
          <w:szCs w:val="32"/>
          <w:highlight w:val="none"/>
          <w:u w:val="single"/>
          <w:lang w:eastAsia="zh-CN"/>
        </w:rPr>
        <w:t>长沙城发能源有限公司</w:t>
      </w:r>
    </w:p>
    <w:p>
      <w:pPr>
        <w:spacing w:line="360" w:lineRule="auto"/>
        <w:jc w:val="center"/>
        <w:outlineLvl w:val="9"/>
        <w:rPr>
          <w:rFonts w:hint="eastAsia" w:ascii="仿宋" w:hAnsi="仿宋" w:eastAsia="仿宋" w:cs="仿宋"/>
          <w:bCs w:val="0"/>
          <w:color w:val="auto"/>
          <w:sz w:val="32"/>
          <w:szCs w:val="32"/>
          <w:highlight w:val="none"/>
          <w:u w:val="single"/>
          <w:lang w:eastAsia="zh-CN"/>
        </w:rPr>
      </w:pPr>
    </w:p>
    <w:p>
      <w:pPr>
        <w:spacing w:line="360" w:lineRule="auto"/>
        <w:jc w:val="center"/>
        <w:outlineLvl w:val="9"/>
        <w:rPr>
          <w:rFonts w:hint="eastAsia" w:ascii="仿宋" w:hAnsi="仿宋" w:eastAsia="仿宋" w:cs="仿宋"/>
          <w:color w:val="auto"/>
          <w:sz w:val="32"/>
          <w:szCs w:val="32"/>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highlight w:val="none"/>
        </w:rPr>
        <w:t>日    期：</w:t>
      </w:r>
      <w:r>
        <w:rPr>
          <w:rFonts w:hint="eastAsia" w:ascii="仿宋" w:hAnsi="仿宋" w:eastAsia="仿宋" w:cs="仿宋"/>
          <w:color w:val="auto"/>
          <w:sz w:val="32"/>
          <w:szCs w:val="32"/>
          <w:highlight w:val="none"/>
          <w:u w:val="single"/>
        </w:rPr>
        <w:t>202</w:t>
      </w:r>
      <w:r>
        <w:rPr>
          <w:rFonts w:hint="eastAsia" w:ascii="仿宋" w:hAnsi="仿宋" w:eastAsia="仿宋" w:cs="仿宋"/>
          <w:color w:val="auto"/>
          <w:sz w:val="32"/>
          <w:szCs w:val="32"/>
          <w:highlight w:val="none"/>
          <w:u w:val="singl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5</w:t>
      </w:r>
      <w:r>
        <w:rPr>
          <w:rFonts w:hint="eastAsia" w:ascii="仿宋" w:hAnsi="仿宋" w:eastAsia="仿宋" w:cs="仿宋"/>
          <w:color w:val="auto"/>
          <w:sz w:val="32"/>
          <w:szCs w:val="32"/>
          <w:highlight w:val="none"/>
        </w:rPr>
        <w:t>月</w:t>
      </w:r>
    </w:p>
    <w:sdt>
      <w:sdtPr>
        <w:rPr>
          <w:rFonts w:hint="eastAsia" w:ascii="仿宋" w:hAnsi="仿宋" w:eastAsia="仿宋" w:cs="仿宋"/>
          <w:kern w:val="2"/>
          <w:sz w:val="36"/>
          <w:szCs w:val="36"/>
          <w:highlight w:val="none"/>
          <w:lang w:val="en-US" w:eastAsia="zh-CN" w:bidi="ar-SA"/>
        </w:rPr>
        <w:id w:val="147464825"/>
        <w15:color w:val="DBDBDB"/>
        <w:docPartObj>
          <w:docPartGallery w:val="Table of Contents"/>
          <w:docPartUnique/>
        </w:docPartObj>
      </w:sdtPr>
      <w:sdtEndPr>
        <w:rPr>
          <w:rFonts w:hint="eastAsia" w:ascii="仿宋" w:hAnsi="仿宋" w:eastAsia="仿宋" w:cs="仿宋"/>
          <w:bCs/>
          <w:color w:val="auto"/>
          <w:kern w:val="0"/>
          <w:sz w:val="32"/>
          <w:szCs w:val="32"/>
          <w:highlight w:val="none"/>
          <w:shd w:val="clear" w:color="auto" w:fill="FFFFFF"/>
          <w:lang w:val="en-US" w:eastAsia="zh-CN" w:bidi="ar-SA"/>
        </w:rPr>
      </w:sdtEndPr>
      <w:sdtContent>
        <w:p>
          <w:pPr>
            <w:spacing w:before="0" w:beforeLines="0" w:after="423" w:afterLines="135" w:afterAutospacing="0" w:line="240" w:lineRule="auto"/>
            <w:ind w:left="0" w:leftChars="0" w:right="0" w:rightChars="0" w:firstLine="0" w:firstLineChars="0"/>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目录</w:t>
          </w:r>
        </w:p>
        <w:p>
          <w:pPr>
            <w:pStyle w:val="18"/>
            <w:tabs>
              <w:tab w:val="right" w:leader="dot" w:pos="8306"/>
            </w:tabs>
            <w:spacing w:beforeAutospacing="0" w:after="315" w:afterLines="100" w:afterAutospacing="0"/>
            <w:rPr>
              <w:rFonts w:hint="eastAsia" w:ascii="仿宋" w:hAnsi="仿宋" w:eastAsia="仿宋" w:cs="仿宋"/>
              <w:sz w:val="36"/>
              <w:szCs w:val="36"/>
              <w:highlight w:val="none"/>
            </w:rPr>
          </w:pPr>
          <w:r>
            <w:rPr>
              <w:rFonts w:hint="eastAsia" w:ascii="仿宋" w:hAnsi="仿宋" w:eastAsia="仿宋" w:cs="仿宋"/>
              <w:b/>
              <w:bCs/>
              <w:color w:val="auto"/>
              <w:sz w:val="36"/>
              <w:szCs w:val="36"/>
              <w:highlight w:val="none"/>
              <w:shd w:val="clear" w:color="auto" w:fill="FFFFFF"/>
              <w:lang w:eastAsia="zh-CN"/>
            </w:rPr>
            <w:fldChar w:fldCharType="begin"/>
          </w:r>
          <w:r>
            <w:rPr>
              <w:rFonts w:hint="eastAsia" w:ascii="仿宋" w:hAnsi="仿宋" w:eastAsia="仿宋" w:cs="仿宋"/>
              <w:b/>
              <w:bCs/>
              <w:color w:val="auto"/>
              <w:sz w:val="36"/>
              <w:szCs w:val="36"/>
              <w:highlight w:val="none"/>
              <w:shd w:val="clear" w:color="auto" w:fill="FFFFFF"/>
              <w:lang w:eastAsia="zh-CN"/>
            </w:rPr>
            <w:instrText xml:space="preserve">TOC \o "1-1" \h \u </w:instrText>
          </w:r>
          <w:r>
            <w:rPr>
              <w:rFonts w:hint="eastAsia" w:ascii="仿宋" w:hAnsi="仿宋" w:eastAsia="仿宋" w:cs="仿宋"/>
              <w:b/>
              <w:bCs/>
              <w:color w:val="auto"/>
              <w:sz w:val="36"/>
              <w:szCs w:val="36"/>
              <w:highlight w:val="none"/>
              <w:shd w:val="clear" w:color="auto" w:fill="FFFFFF"/>
              <w:lang w:eastAsia="zh-CN"/>
            </w:rPr>
            <w:fldChar w:fldCharType="separate"/>
          </w:r>
          <w:r>
            <w:rPr>
              <w:rFonts w:hint="eastAsia" w:ascii="仿宋" w:hAnsi="仿宋" w:eastAsia="仿宋" w:cs="仿宋"/>
              <w:bCs/>
              <w:color w:val="auto"/>
              <w:sz w:val="36"/>
              <w:szCs w:val="36"/>
              <w:highlight w:val="none"/>
              <w:shd w:val="clear" w:color="auto" w:fill="FFFFFF"/>
              <w:lang w:eastAsia="zh-CN"/>
            </w:rPr>
            <w:fldChar w:fldCharType="begin"/>
          </w:r>
          <w:r>
            <w:rPr>
              <w:rFonts w:hint="eastAsia" w:ascii="仿宋" w:hAnsi="仿宋" w:eastAsia="仿宋" w:cs="仿宋"/>
              <w:bCs/>
              <w:sz w:val="36"/>
              <w:szCs w:val="36"/>
              <w:highlight w:val="none"/>
              <w:shd w:val="clear" w:color="auto" w:fill="FFFFFF"/>
              <w:lang w:eastAsia="zh-CN"/>
            </w:rPr>
            <w:instrText xml:space="preserve"> HYPERLINK \l _Toc12719 </w:instrText>
          </w:r>
          <w:r>
            <w:rPr>
              <w:rFonts w:hint="eastAsia" w:ascii="仿宋" w:hAnsi="仿宋" w:eastAsia="仿宋" w:cs="仿宋"/>
              <w:bCs/>
              <w:sz w:val="36"/>
              <w:szCs w:val="36"/>
              <w:highlight w:val="none"/>
              <w:shd w:val="clear" w:color="auto" w:fill="FFFFFF"/>
              <w:lang w:eastAsia="zh-CN"/>
            </w:rPr>
            <w:fldChar w:fldCharType="separate"/>
          </w:r>
          <w:r>
            <w:rPr>
              <w:rFonts w:hint="eastAsia" w:ascii="仿宋" w:hAnsi="仿宋" w:eastAsia="仿宋" w:cs="仿宋"/>
              <w:bCs/>
              <w:sz w:val="36"/>
              <w:szCs w:val="36"/>
              <w:highlight w:val="none"/>
              <w:shd w:val="clear" w:color="auto" w:fill="FFFFFF"/>
              <w:lang w:val="en-US" w:eastAsia="zh-CN"/>
            </w:rPr>
            <w:t xml:space="preserve">第一章  </w:t>
          </w:r>
          <w:r>
            <w:rPr>
              <w:rFonts w:hint="eastAsia" w:ascii="仿宋" w:hAnsi="仿宋" w:eastAsia="仿宋" w:cs="仿宋"/>
              <w:bCs/>
              <w:sz w:val="36"/>
              <w:szCs w:val="36"/>
              <w:highlight w:val="none"/>
              <w:shd w:val="clear" w:color="auto" w:fill="FFFFFF"/>
            </w:rPr>
            <w:t>竞价公告</w:t>
          </w:r>
          <w:r>
            <w:rPr>
              <w:rFonts w:hint="eastAsia" w:ascii="仿宋" w:hAnsi="仿宋" w:eastAsia="仿宋" w:cs="仿宋"/>
              <w:sz w:val="36"/>
              <w:szCs w:val="36"/>
              <w:highlight w:val="none"/>
            </w:rPr>
            <w:tab/>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PAGEREF _Toc12719 \h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1</w:t>
          </w:r>
          <w:r>
            <w:rPr>
              <w:rFonts w:hint="eastAsia" w:ascii="仿宋" w:hAnsi="仿宋" w:eastAsia="仿宋" w:cs="仿宋"/>
              <w:sz w:val="36"/>
              <w:szCs w:val="36"/>
              <w:highlight w:val="none"/>
            </w:rPr>
            <w:fldChar w:fldCharType="end"/>
          </w:r>
          <w:r>
            <w:rPr>
              <w:rFonts w:hint="eastAsia" w:ascii="仿宋" w:hAnsi="仿宋" w:eastAsia="仿宋" w:cs="仿宋"/>
              <w:bCs/>
              <w:color w:val="auto"/>
              <w:sz w:val="36"/>
              <w:szCs w:val="36"/>
              <w:highlight w:val="none"/>
              <w:shd w:val="clear" w:color="auto" w:fill="FFFFFF"/>
              <w:lang w:eastAsia="zh-CN"/>
            </w:rPr>
            <w:fldChar w:fldCharType="end"/>
          </w:r>
        </w:p>
        <w:p>
          <w:pPr>
            <w:pStyle w:val="18"/>
            <w:tabs>
              <w:tab w:val="right" w:leader="dot" w:pos="8306"/>
            </w:tabs>
            <w:spacing w:after="315" w:afterLines="100" w:afterAutospacing="0"/>
            <w:rPr>
              <w:rFonts w:hint="eastAsia" w:ascii="仿宋" w:hAnsi="仿宋" w:eastAsia="仿宋" w:cs="仿宋"/>
              <w:sz w:val="36"/>
              <w:szCs w:val="36"/>
              <w:highlight w:val="none"/>
            </w:rPr>
          </w:pPr>
          <w:r>
            <w:rPr>
              <w:rFonts w:hint="eastAsia" w:ascii="仿宋" w:hAnsi="仿宋" w:eastAsia="仿宋" w:cs="仿宋"/>
              <w:bCs/>
              <w:color w:val="auto"/>
              <w:sz w:val="36"/>
              <w:szCs w:val="36"/>
              <w:highlight w:val="none"/>
              <w:shd w:val="clear" w:color="auto" w:fill="FFFFFF"/>
              <w:lang w:eastAsia="zh-CN"/>
            </w:rPr>
            <w:fldChar w:fldCharType="begin"/>
          </w:r>
          <w:r>
            <w:rPr>
              <w:rFonts w:hint="eastAsia" w:ascii="仿宋" w:hAnsi="仿宋" w:eastAsia="仿宋" w:cs="仿宋"/>
              <w:bCs/>
              <w:sz w:val="36"/>
              <w:szCs w:val="36"/>
              <w:highlight w:val="none"/>
              <w:shd w:val="clear" w:color="auto" w:fill="FFFFFF"/>
              <w:lang w:eastAsia="zh-CN"/>
            </w:rPr>
            <w:instrText xml:space="preserve"> HYPERLINK \l _Toc9249 </w:instrText>
          </w:r>
          <w:r>
            <w:rPr>
              <w:rFonts w:hint="eastAsia" w:ascii="仿宋" w:hAnsi="仿宋" w:eastAsia="仿宋" w:cs="仿宋"/>
              <w:bCs/>
              <w:sz w:val="36"/>
              <w:szCs w:val="36"/>
              <w:highlight w:val="none"/>
              <w:shd w:val="clear" w:color="auto" w:fill="FFFFFF"/>
              <w:lang w:eastAsia="zh-CN"/>
            </w:rPr>
            <w:fldChar w:fldCharType="separate"/>
          </w:r>
          <w:r>
            <w:rPr>
              <w:rFonts w:hint="eastAsia" w:ascii="仿宋" w:hAnsi="仿宋" w:eastAsia="仿宋" w:cs="仿宋"/>
              <w:bCs/>
              <w:kern w:val="0"/>
              <w:sz w:val="36"/>
              <w:szCs w:val="36"/>
              <w:highlight w:val="none"/>
              <w:shd w:val="clear" w:color="auto" w:fill="FFFFFF"/>
              <w:lang w:val="en-US" w:eastAsia="zh-CN" w:bidi="ar-SA"/>
            </w:rPr>
            <w:t>第二章  合同条款及格式</w:t>
          </w:r>
          <w:r>
            <w:rPr>
              <w:rFonts w:hint="eastAsia" w:ascii="仿宋" w:hAnsi="仿宋" w:eastAsia="仿宋" w:cs="仿宋"/>
              <w:sz w:val="36"/>
              <w:szCs w:val="36"/>
              <w:highlight w:val="none"/>
            </w:rPr>
            <w:tab/>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PAGEREF _Toc9249 \h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5</w:t>
          </w:r>
          <w:r>
            <w:rPr>
              <w:rFonts w:hint="eastAsia" w:ascii="仿宋" w:hAnsi="仿宋" w:eastAsia="仿宋" w:cs="仿宋"/>
              <w:sz w:val="36"/>
              <w:szCs w:val="36"/>
              <w:highlight w:val="none"/>
            </w:rPr>
            <w:fldChar w:fldCharType="end"/>
          </w:r>
          <w:r>
            <w:rPr>
              <w:rFonts w:hint="eastAsia" w:ascii="仿宋" w:hAnsi="仿宋" w:eastAsia="仿宋" w:cs="仿宋"/>
              <w:bCs/>
              <w:color w:val="auto"/>
              <w:sz w:val="36"/>
              <w:szCs w:val="36"/>
              <w:highlight w:val="none"/>
              <w:shd w:val="clear" w:color="auto" w:fill="FFFFFF"/>
              <w:lang w:eastAsia="zh-CN"/>
            </w:rPr>
            <w:fldChar w:fldCharType="end"/>
          </w:r>
        </w:p>
        <w:p>
          <w:pPr>
            <w:pStyle w:val="18"/>
            <w:tabs>
              <w:tab w:val="right" w:leader="dot" w:pos="8306"/>
            </w:tabs>
            <w:spacing w:after="315" w:afterLines="100" w:afterAutospacing="0"/>
            <w:rPr>
              <w:rFonts w:hint="eastAsia" w:ascii="仿宋" w:hAnsi="仿宋" w:eastAsia="仿宋" w:cs="仿宋"/>
              <w:sz w:val="36"/>
              <w:szCs w:val="36"/>
              <w:highlight w:val="none"/>
            </w:rPr>
          </w:pPr>
          <w:r>
            <w:rPr>
              <w:rFonts w:hint="eastAsia" w:ascii="仿宋" w:hAnsi="仿宋" w:eastAsia="仿宋" w:cs="仿宋"/>
              <w:bCs/>
              <w:color w:val="auto"/>
              <w:sz w:val="36"/>
              <w:szCs w:val="36"/>
              <w:highlight w:val="none"/>
              <w:shd w:val="clear" w:color="auto" w:fill="FFFFFF"/>
              <w:lang w:eastAsia="zh-CN"/>
            </w:rPr>
            <w:fldChar w:fldCharType="begin"/>
          </w:r>
          <w:r>
            <w:rPr>
              <w:rFonts w:hint="eastAsia" w:ascii="仿宋" w:hAnsi="仿宋" w:eastAsia="仿宋" w:cs="仿宋"/>
              <w:bCs/>
              <w:sz w:val="36"/>
              <w:szCs w:val="36"/>
              <w:highlight w:val="none"/>
              <w:shd w:val="clear" w:color="auto" w:fill="FFFFFF"/>
              <w:lang w:eastAsia="zh-CN"/>
            </w:rPr>
            <w:instrText xml:space="preserve"> HYPERLINK \l _Toc2670 </w:instrText>
          </w:r>
          <w:r>
            <w:rPr>
              <w:rFonts w:hint="eastAsia" w:ascii="仿宋" w:hAnsi="仿宋" w:eastAsia="仿宋" w:cs="仿宋"/>
              <w:bCs/>
              <w:sz w:val="36"/>
              <w:szCs w:val="36"/>
              <w:highlight w:val="none"/>
              <w:shd w:val="clear" w:color="auto" w:fill="FFFFFF"/>
              <w:lang w:eastAsia="zh-CN"/>
            </w:rPr>
            <w:fldChar w:fldCharType="separate"/>
          </w:r>
          <w:r>
            <w:rPr>
              <w:rFonts w:hint="eastAsia" w:ascii="仿宋" w:hAnsi="仿宋" w:eastAsia="仿宋" w:cs="仿宋"/>
              <w:bCs/>
              <w:kern w:val="0"/>
              <w:sz w:val="36"/>
              <w:szCs w:val="36"/>
              <w:highlight w:val="none"/>
              <w:lang w:val="en-US" w:eastAsia="zh-CN"/>
            </w:rPr>
            <w:t>第三章  采购需求</w:t>
          </w:r>
          <w:r>
            <w:rPr>
              <w:rFonts w:hint="eastAsia" w:ascii="仿宋" w:hAnsi="仿宋" w:eastAsia="仿宋" w:cs="仿宋"/>
              <w:sz w:val="36"/>
              <w:szCs w:val="36"/>
              <w:highlight w:val="none"/>
            </w:rPr>
            <w:tab/>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PAGEREF _Toc2670 \h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14</w:t>
          </w:r>
          <w:r>
            <w:rPr>
              <w:rFonts w:hint="eastAsia" w:ascii="仿宋" w:hAnsi="仿宋" w:eastAsia="仿宋" w:cs="仿宋"/>
              <w:sz w:val="36"/>
              <w:szCs w:val="36"/>
              <w:highlight w:val="none"/>
            </w:rPr>
            <w:fldChar w:fldCharType="end"/>
          </w:r>
          <w:r>
            <w:rPr>
              <w:rFonts w:hint="eastAsia" w:ascii="仿宋" w:hAnsi="仿宋" w:eastAsia="仿宋" w:cs="仿宋"/>
              <w:bCs/>
              <w:color w:val="auto"/>
              <w:sz w:val="36"/>
              <w:szCs w:val="36"/>
              <w:highlight w:val="none"/>
              <w:shd w:val="clear" w:color="auto" w:fill="FFFFFF"/>
              <w:lang w:eastAsia="zh-CN"/>
            </w:rPr>
            <w:fldChar w:fldCharType="end"/>
          </w:r>
        </w:p>
        <w:p>
          <w:pPr>
            <w:pStyle w:val="18"/>
            <w:tabs>
              <w:tab w:val="right" w:leader="dot" w:pos="8306"/>
            </w:tabs>
            <w:spacing w:after="315" w:afterLines="100" w:afterAutospacing="0"/>
            <w:rPr>
              <w:rFonts w:hint="eastAsia" w:ascii="仿宋" w:hAnsi="仿宋" w:eastAsia="仿宋" w:cs="仿宋"/>
              <w:b/>
              <w:bCs/>
              <w:color w:val="auto"/>
              <w:sz w:val="32"/>
              <w:szCs w:val="32"/>
              <w:highlight w:val="none"/>
              <w:shd w:val="clear" w:color="auto" w:fill="FFFFFF"/>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Cs/>
              <w:color w:val="auto"/>
              <w:sz w:val="36"/>
              <w:szCs w:val="36"/>
              <w:highlight w:val="none"/>
              <w:shd w:val="clear" w:color="auto" w:fill="FFFFFF"/>
              <w:lang w:eastAsia="zh-CN"/>
            </w:rPr>
            <w:fldChar w:fldCharType="begin"/>
          </w:r>
          <w:r>
            <w:rPr>
              <w:rFonts w:hint="eastAsia" w:ascii="仿宋" w:hAnsi="仿宋" w:eastAsia="仿宋" w:cs="仿宋"/>
              <w:bCs/>
              <w:sz w:val="36"/>
              <w:szCs w:val="36"/>
              <w:highlight w:val="none"/>
              <w:shd w:val="clear" w:color="auto" w:fill="FFFFFF"/>
              <w:lang w:eastAsia="zh-CN"/>
            </w:rPr>
            <w:instrText xml:space="preserve"> HYPERLINK \l _Toc15246 </w:instrText>
          </w:r>
          <w:r>
            <w:rPr>
              <w:rFonts w:hint="eastAsia" w:ascii="仿宋" w:hAnsi="仿宋" w:eastAsia="仿宋" w:cs="仿宋"/>
              <w:bCs/>
              <w:sz w:val="36"/>
              <w:szCs w:val="36"/>
              <w:highlight w:val="none"/>
              <w:shd w:val="clear" w:color="auto" w:fill="FFFFFF"/>
              <w:lang w:eastAsia="zh-CN"/>
            </w:rPr>
            <w:fldChar w:fldCharType="separate"/>
          </w:r>
          <w:r>
            <w:rPr>
              <w:rFonts w:hint="eastAsia" w:ascii="仿宋" w:hAnsi="仿宋" w:eastAsia="仿宋" w:cs="仿宋"/>
              <w:bCs/>
              <w:kern w:val="0"/>
              <w:sz w:val="36"/>
              <w:szCs w:val="36"/>
              <w:highlight w:val="none"/>
              <w:lang w:val="en-US" w:eastAsia="zh-CN"/>
            </w:rPr>
            <w:t>第四章  报价文件格式</w:t>
          </w:r>
          <w:r>
            <w:rPr>
              <w:rFonts w:hint="eastAsia" w:ascii="仿宋" w:hAnsi="仿宋" w:eastAsia="仿宋" w:cs="仿宋"/>
              <w:sz w:val="36"/>
              <w:szCs w:val="36"/>
              <w:highlight w:val="none"/>
            </w:rPr>
            <w:tab/>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PAGEREF _Toc15246 \h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15</w:t>
          </w:r>
          <w:r>
            <w:rPr>
              <w:rFonts w:hint="eastAsia" w:ascii="仿宋" w:hAnsi="仿宋" w:eastAsia="仿宋" w:cs="仿宋"/>
              <w:sz w:val="36"/>
              <w:szCs w:val="36"/>
              <w:highlight w:val="none"/>
            </w:rPr>
            <w:fldChar w:fldCharType="end"/>
          </w:r>
          <w:r>
            <w:rPr>
              <w:rFonts w:hint="eastAsia" w:ascii="仿宋" w:hAnsi="仿宋" w:eastAsia="仿宋" w:cs="仿宋"/>
              <w:bCs/>
              <w:color w:val="auto"/>
              <w:sz w:val="36"/>
              <w:szCs w:val="36"/>
              <w:highlight w:val="none"/>
              <w:shd w:val="clear" w:color="auto" w:fill="FFFFFF"/>
              <w:lang w:eastAsia="zh-CN"/>
            </w:rPr>
            <w:fldChar w:fldCharType="end"/>
          </w:r>
          <w:r>
            <w:rPr>
              <w:rFonts w:hint="eastAsia" w:ascii="仿宋" w:hAnsi="仿宋" w:eastAsia="仿宋" w:cs="仿宋"/>
              <w:bCs/>
              <w:color w:val="auto"/>
              <w:sz w:val="36"/>
              <w:szCs w:val="36"/>
              <w:highlight w:val="none"/>
              <w:shd w:val="clear" w:color="auto" w:fill="FFFFFF"/>
              <w:lang w:eastAsia="zh-CN"/>
            </w:rPr>
            <w:fldChar w:fldCharType="end"/>
          </w:r>
        </w:p>
      </w:sdtContent>
    </w:sdt>
    <w:p>
      <w:pPr>
        <w:pStyle w:val="22"/>
        <w:widowControl/>
        <w:shd w:val="clear" w:color="auto" w:fill="FFFFFF"/>
        <w:spacing w:beforeAutospacing="0" w:after="150" w:afterAutospacing="0" w:line="408" w:lineRule="atLeast"/>
        <w:jc w:val="center"/>
        <w:outlineLvl w:val="0"/>
        <w:rPr>
          <w:rFonts w:ascii="仿宋" w:hAnsi="仿宋" w:eastAsia="仿宋" w:cs="仿宋"/>
          <w:b/>
          <w:bCs/>
          <w:color w:val="auto"/>
          <w:sz w:val="44"/>
          <w:szCs w:val="44"/>
          <w:highlight w:val="none"/>
          <w:shd w:val="clear" w:color="auto" w:fill="FFFFFF"/>
        </w:rPr>
      </w:pPr>
      <w:bookmarkStart w:id="0" w:name="_Toc12719"/>
      <w:r>
        <w:rPr>
          <w:rFonts w:hint="eastAsia" w:ascii="仿宋" w:hAnsi="仿宋" w:eastAsia="仿宋" w:cs="仿宋"/>
          <w:b/>
          <w:bCs/>
          <w:color w:val="auto"/>
          <w:sz w:val="44"/>
          <w:szCs w:val="44"/>
          <w:highlight w:val="none"/>
          <w:shd w:val="clear" w:color="auto" w:fill="FFFFFF"/>
          <w:lang w:val="en-US" w:eastAsia="zh-CN"/>
        </w:rPr>
        <w:t xml:space="preserve">第一章  </w:t>
      </w:r>
      <w:r>
        <w:rPr>
          <w:rFonts w:hint="eastAsia" w:ascii="仿宋" w:hAnsi="仿宋" w:eastAsia="仿宋" w:cs="仿宋"/>
          <w:b/>
          <w:bCs/>
          <w:color w:val="auto"/>
          <w:sz w:val="44"/>
          <w:szCs w:val="44"/>
          <w:highlight w:val="none"/>
          <w:shd w:val="clear" w:color="auto" w:fill="FFFFFF"/>
        </w:rPr>
        <w:t>竞价公告</w:t>
      </w:r>
      <w:bookmarkEnd w:id="0"/>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u w:val="single"/>
          <w:lang w:eastAsia="zh-CN"/>
        </w:rPr>
        <w:t>长沙城发能源有限公司</w:t>
      </w:r>
      <w:r>
        <w:rPr>
          <w:rFonts w:hint="eastAsia" w:ascii="仿宋" w:hAnsi="仿宋" w:eastAsia="仿宋" w:cs="仿宋"/>
          <w:color w:val="auto"/>
          <w:sz w:val="24"/>
          <w:szCs w:val="24"/>
          <w:highlight w:val="none"/>
          <w:u w:val="none"/>
        </w:rPr>
        <w:t>的</w:t>
      </w:r>
      <w:r>
        <w:rPr>
          <w:rFonts w:hint="eastAsia" w:ascii="仿宋" w:hAnsi="仿宋" w:eastAsia="仿宋" w:cs="仿宋"/>
          <w:color w:val="auto"/>
          <w:sz w:val="24"/>
          <w:szCs w:val="24"/>
          <w:highlight w:val="none"/>
          <w:u w:val="single"/>
          <w:lang w:eastAsia="zh-CN"/>
        </w:rPr>
        <w:t>2024年应急物资采购、建筑消防设施检测、消防器材维保服务采购项目</w:t>
      </w:r>
      <w:r>
        <w:rPr>
          <w:rFonts w:hint="eastAsia" w:ascii="仿宋" w:hAnsi="仿宋" w:eastAsia="仿宋" w:cs="仿宋"/>
          <w:color w:val="auto"/>
          <w:sz w:val="24"/>
          <w:szCs w:val="24"/>
          <w:highlight w:val="none"/>
          <w:u w:val="none"/>
        </w:rPr>
        <w:t>拟</w:t>
      </w:r>
      <w:r>
        <w:rPr>
          <w:rFonts w:hint="eastAsia" w:ascii="仿宋" w:hAnsi="仿宋" w:eastAsia="仿宋" w:cs="仿宋"/>
          <w:color w:val="auto"/>
          <w:sz w:val="24"/>
          <w:szCs w:val="24"/>
          <w:highlight w:val="none"/>
        </w:rPr>
        <w:t>通过市场竞争的方式进行公开竞价，</w:t>
      </w:r>
      <w:r>
        <w:rPr>
          <w:rFonts w:hint="eastAsia" w:ascii="仿宋" w:hAnsi="仿宋" w:eastAsia="仿宋" w:cs="仿宋"/>
          <w:color w:val="auto"/>
          <w:sz w:val="24"/>
          <w:szCs w:val="24"/>
          <w:highlight w:val="none"/>
          <w:lang w:val="en-US" w:eastAsia="zh-CN"/>
        </w:rPr>
        <w:t>报价单位</w:t>
      </w:r>
      <w:r>
        <w:rPr>
          <w:rFonts w:hint="eastAsia" w:ascii="仿宋" w:hAnsi="仿宋" w:eastAsia="仿宋" w:cs="仿宋"/>
          <w:color w:val="auto"/>
          <w:sz w:val="24"/>
          <w:szCs w:val="24"/>
          <w:highlight w:val="none"/>
        </w:rPr>
        <w:t>参与报价视为完全响应</w:t>
      </w:r>
      <w:r>
        <w:rPr>
          <w:rFonts w:hint="eastAsia" w:ascii="仿宋" w:hAnsi="仿宋" w:eastAsia="仿宋" w:cs="仿宋"/>
          <w:color w:val="auto"/>
          <w:sz w:val="24"/>
          <w:szCs w:val="24"/>
          <w:highlight w:val="none"/>
          <w:u w:val="single"/>
        </w:rPr>
        <w:t>本项目</w:t>
      </w:r>
      <w:r>
        <w:rPr>
          <w:rFonts w:hint="eastAsia" w:ascii="仿宋" w:hAnsi="仿宋" w:eastAsia="仿宋" w:cs="仿宋"/>
          <w:color w:val="auto"/>
          <w:sz w:val="24"/>
          <w:szCs w:val="24"/>
          <w:highlight w:val="none"/>
          <w:u w:val="single"/>
          <w:lang w:val="en-US" w:eastAsia="zh-CN"/>
        </w:rPr>
        <w:t>文件、合同</w:t>
      </w:r>
      <w:r>
        <w:rPr>
          <w:rFonts w:hint="eastAsia" w:ascii="仿宋" w:hAnsi="仿宋" w:eastAsia="仿宋" w:cs="仿宋"/>
          <w:color w:val="auto"/>
          <w:sz w:val="24"/>
          <w:szCs w:val="24"/>
          <w:highlight w:val="none"/>
          <w:u w:val="single"/>
        </w:rPr>
        <w:t>、附件</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如有</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的全部要求。</w:t>
      </w:r>
    </w:p>
    <w:p>
      <w:pPr>
        <w:keepNext w:val="0"/>
        <w:keepLines w:val="0"/>
        <w:pageBreakBefore w:val="0"/>
        <w:widowControl w:val="0"/>
        <w:kinsoku/>
        <w:overflowPunct/>
        <w:topLinePunct w:val="0"/>
        <w:bidi w:val="0"/>
        <w:adjustRightInd w:val="0"/>
        <w:snapToGrid w:val="0"/>
        <w:spacing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bCs w:val="0"/>
          <w:color w:val="auto"/>
          <w:sz w:val="24"/>
          <w:szCs w:val="24"/>
          <w:highlight w:val="none"/>
          <w:u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none"/>
          <w:lang w:val="en-US" w:eastAsia="zh-CN"/>
        </w:rPr>
        <w:t>采购</w:t>
      </w:r>
      <w:r>
        <w:rPr>
          <w:rFonts w:hint="eastAsia" w:ascii="仿宋" w:hAnsi="仿宋" w:eastAsia="仿宋" w:cs="仿宋"/>
          <w:color w:val="auto"/>
          <w:sz w:val="24"/>
          <w:szCs w:val="24"/>
          <w:highlight w:val="none"/>
          <w:u w:val="none"/>
        </w:rPr>
        <w:t>范围：</w:t>
      </w:r>
      <w:r>
        <w:rPr>
          <w:rFonts w:hint="eastAsia" w:ascii="仿宋" w:hAnsi="仿宋" w:eastAsia="仿宋" w:cs="仿宋"/>
          <w:bCs w:val="0"/>
          <w:color w:val="auto"/>
          <w:sz w:val="24"/>
          <w:szCs w:val="24"/>
          <w:highlight w:val="none"/>
          <w:u w:val="none"/>
          <w:lang w:eastAsia="zh-CN"/>
        </w:rPr>
        <w:t>服务期内按照招选人需求，为加油站、能源站等经营场所提供应急物资、建筑消防设施检测、消防器材维保等服务，具体内容详见</w:t>
      </w:r>
      <w:r>
        <w:rPr>
          <w:rFonts w:hint="eastAsia" w:ascii="仿宋" w:hAnsi="仿宋" w:eastAsia="仿宋" w:cs="仿宋"/>
          <w:color w:val="auto"/>
          <w:kern w:val="2"/>
          <w:sz w:val="24"/>
          <w:szCs w:val="24"/>
          <w:highlight w:val="none"/>
          <w:u w:val="none"/>
          <w:shd w:val="clear" w:color="auto" w:fill="FFFFFF"/>
          <w:lang w:val="en-US" w:eastAsia="zh-CN"/>
        </w:rPr>
        <w:t>采购需求。</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2.资金来源：企业自筹。</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项目预算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lang w:val="en-US" w:eastAsia="zh-CN"/>
        </w:rPr>
        <w:t>14.5207</w:t>
      </w:r>
      <w:r>
        <w:rPr>
          <w:rFonts w:hint="eastAsia" w:ascii="仿宋" w:hAnsi="仿宋" w:eastAsia="仿宋" w:cs="仿宋"/>
          <w:color w:val="auto"/>
          <w:sz w:val="24"/>
          <w:szCs w:val="24"/>
          <w:highlight w:val="none"/>
          <w:u w:val="none"/>
        </w:rPr>
        <w:t>万元</w:t>
      </w:r>
      <w:r>
        <w:rPr>
          <w:rFonts w:hint="eastAsia" w:ascii="仿宋" w:hAnsi="仿宋" w:eastAsia="仿宋" w:cs="仿宋"/>
          <w:color w:val="auto"/>
          <w:sz w:val="24"/>
          <w:szCs w:val="24"/>
          <w:highlight w:val="none"/>
          <w:u w:val="none"/>
          <w:lang w:eastAsia="zh-CN"/>
        </w:rPr>
        <w:t>（报价应包含：税金及其他一切费用，</w:t>
      </w:r>
      <w:r>
        <w:rPr>
          <w:rFonts w:hint="eastAsia" w:ascii="仿宋" w:hAnsi="仿宋" w:eastAsia="仿宋" w:cs="仿宋"/>
          <w:color w:val="auto"/>
          <w:sz w:val="24"/>
          <w:szCs w:val="24"/>
          <w:highlight w:val="none"/>
          <w:u w:val="none"/>
          <w:lang w:val="en-US" w:eastAsia="zh-CN"/>
        </w:rPr>
        <w:t>其中采购部分税率为13%，服务部分税率为6%</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rPr>
        <w:t>.服务期限：</w:t>
      </w:r>
      <w:r>
        <w:rPr>
          <w:rFonts w:hint="eastAsia" w:ascii="仿宋" w:hAnsi="仿宋" w:eastAsia="仿宋" w:cs="仿宋"/>
          <w:color w:val="auto"/>
          <w:sz w:val="24"/>
          <w:szCs w:val="24"/>
          <w:highlight w:val="none"/>
          <w:u w:val="none"/>
          <w:lang w:val="en-US" w:eastAsia="zh-CN"/>
        </w:rPr>
        <w:t>1年</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kern w:val="2"/>
          <w:sz w:val="24"/>
          <w:szCs w:val="24"/>
          <w:highlight w:val="none"/>
          <w:u w:val="none"/>
          <w:shd w:val="clear" w:color="auto" w:fill="FFFFFF"/>
          <w:lang w:eastAsia="zh-CN"/>
        </w:rPr>
      </w:pPr>
      <w:r>
        <w:rPr>
          <w:rFonts w:hint="eastAsia" w:ascii="仿宋" w:hAnsi="仿宋" w:eastAsia="仿宋" w:cs="仿宋"/>
          <w:color w:val="auto"/>
          <w:kern w:val="2"/>
          <w:sz w:val="24"/>
          <w:szCs w:val="24"/>
          <w:highlight w:val="none"/>
          <w:u w:val="none"/>
          <w:shd w:val="clear" w:color="auto" w:fill="FFFFFF"/>
          <w:lang w:val="en-US" w:eastAsia="zh-CN"/>
        </w:rPr>
        <w:t>5</w:t>
      </w:r>
      <w:r>
        <w:rPr>
          <w:rFonts w:hint="eastAsia" w:ascii="仿宋" w:hAnsi="仿宋" w:eastAsia="仿宋" w:cs="仿宋"/>
          <w:color w:val="auto"/>
          <w:kern w:val="2"/>
          <w:sz w:val="24"/>
          <w:szCs w:val="24"/>
          <w:highlight w:val="none"/>
          <w:u w:val="none"/>
          <w:shd w:val="clear" w:color="auto" w:fill="FFFFFF"/>
        </w:rPr>
        <w:t>.</w:t>
      </w:r>
      <w:r>
        <w:rPr>
          <w:rFonts w:hint="eastAsia" w:ascii="仿宋" w:hAnsi="仿宋" w:eastAsia="仿宋" w:cs="仿宋"/>
          <w:color w:val="auto"/>
          <w:sz w:val="24"/>
          <w:szCs w:val="24"/>
          <w:highlight w:val="none"/>
          <w:u w:val="none"/>
        </w:rPr>
        <w:t>服务</w:t>
      </w:r>
      <w:r>
        <w:rPr>
          <w:rFonts w:hint="eastAsia" w:ascii="仿宋" w:hAnsi="仿宋" w:eastAsia="仿宋" w:cs="仿宋"/>
          <w:color w:val="auto"/>
          <w:kern w:val="2"/>
          <w:sz w:val="24"/>
          <w:szCs w:val="24"/>
          <w:highlight w:val="none"/>
          <w:u w:val="none"/>
          <w:shd w:val="clear" w:color="auto" w:fill="FFFFFF"/>
        </w:rPr>
        <w:t>要求：详见</w:t>
      </w:r>
      <w:r>
        <w:rPr>
          <w:rFonts w:hint="eastAsia" w:ascii="仿宋" w:hAnsi="仿宋" w:eastAsia="仿宋" w:cs="仿宋"/>
          <w:color w:val="auto"/>
          <w:kern w:val="2"/>
          <w:sz w:val="24"/>
          <w:szCs w:val="24"/>
          <w:highlight w:val="none"/>
          <w:u w:val="none"/>
          <w:shd w:val="clear" w:color="auto" w:fill="FFFFFF"/>
          <w:lang w:val="en-US" w:eastAsia="zh-CN"/>
        </w:rPr>
        <w:t>竞价文件第二章</w:t>
      </w:r>
      <w:r>
        <w:rPr>
          <w:rFonts w:hint="eastAsia" w:ascii="仿宋" w:hAnsi="仿宋" w:eastAsia="仿宋" w:cs="仿宋"/>
          <w:color w:val="auto"/>
          <w:kern w:val="2"/>
          <w:sz w:val="24"/>
          <w:szCs w:val="24"/>
          <w:highlight w:val="none"/>
          <w:u w:val="none"/>
          <w:shd w:val="clear" w:color="auto" w:fill="FFFFFF"/>
        </w:rPr>
        <w:t>合同</w:t>
      </w:r>
      <w:r>
        <w:rPr>
          <w:rFonts w:hint="eastAsia" w:ascii="仿宋" w:hAnsi="仿宋" w:eastAsia="仿宋" w:cs="仿宋"/>
          <w:color w:val="auto"/>
          <w:kern w:val="2"/>
          <w:sz w:val="24"/>
          <w:szCs w:val="24"/>
          <w:highlight w:val="none"/>
          <w:u w:val="none"/>
          <w:shd w:val="clear" w:color="auto" w:fill="FFFFFF"/>
          <w:lang w:val="en-US" w:eastAsia="zh-CN"/>
        </w:rPr>
        <w:t>条款</w:t>
      </w:r>
      <w:r>
        <w:rPr>
          <w:rFonts w:hint="eastAsia" w:ascii="仿宋" w:hAnsi="仿宋" w:eastAsia="仿宋" w:cs="仿宋"/>
          <w:color w:val="auto"/>
          <w:kern w:val="2"/>
          <w:sz w:val="24"/>
          <w:szCs w:val="24"/>
          <w:highlight w:val="none"/>
          <w:u w:val="none"/>
          <w:shd w:val="clear" w:color="auto" w:fill="FFFFFF"/>
        </w:rPr>
        <w:t>及</w:t>
      </w:r>
      <w:r>
        <w:rPr>
          <w:rFonts w:hint="eastAsia" w:ascii="仿宋" w:hAnsi="仿宋" w:eastAsia="仿宋" w:cs="仿宋"/>
          <w:color w:val="auto"/>
          <w:kern w:val="2"/>
          <w:sz w:val="24"/>
          <w:szCs w:val="24"/>
          <w:highlight w:val="none"/>
          <w:u w:val="none"/>
          <w:shd w:val="clear" w:color="auto" w:fill="FFFFFF"/>
          <w:lang w:val="en-US" w:eastAsia="zh-CN"/>
        </w:rPr>
        <w:t>第三章采购需求</w:t>
      </w:r>
      <w:r>
        <w:rPr>
          <w:rFonts w:hint="eastAsia" w:ascii="仿宋" w:hAnsi="仿宋" w:eastAsia="仿宋" w:cs="仿宋"/>
          <w:color w:val="auto"/>
          <w:kern w:val="2"/>
          <w:sz w:val="24"/>
          <w:szCs w:val="24"/>
          <w:highlight w:val="none"/>
          <w:u w:val="none"/>
          <w:shd w:val="clear" w:color="auto" w:fill="FFFFFF"/>
          <w:lang w:eastAsia="zh-CN"/>
        </w:rPr>
        <w:t>。</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default" w:ascii="仿宋" w:hAnsi="仿宋" w:eastAsia="仿宋" w:cs="仿宋"/>
          <w:color w:val="auto"/>
          <w:kern w:val="2"/>
          <w:sz w:val="24"/>
          <w:szCs w:val="24"/>
          <w:highlight w:val="none"/>
          <w:u w:val="none"/>
          <w:shd w:val="clear" w:color="auto" w:fill="FFFFFF"/>
          <w:lang w:val="en-US" w:eastAsia="zh-CN"/>
        </w:rPr>
      </w:pPr>
      <w:r>
        <w:rPr>
          <w:rFonts w:hint="eastAsia" w:ascii="仿宋" w:hAnsi="仿宋" w:eastAsia="仿宋" w:cs="仿宋"/>
          <w:color w:val="auto"/>
          <w:kern w:val="2"/>
          <w:sz w:val="24"/>
          <w:szCs w:val="24"/>
          <w:highlight w:val="none"/>
          <w:u w:val="none"/>
          <w:shd w:val="clear" w:color="auto" w:fill="FFFFFF"/>
          <w:lang w:val="en-US" w:eastAsia="zh-CN"/>
        </w:rPr>
        <w:t>6.其他：根据经营场所所属主体不同分开签订合同。</w:t>
      </w:r>
    </w:p>
    <w:p>
      <w:pPr>
        <w:keepNext w:val="0"/>
        <w:keepLines w:val="0"/>
        <w:pageBreakBefore w:val="0"/>
        <w:widowControl w:val="0"/>
        <w:kinsoku/>
        <w:overflowPunct/>
        <w:topLinePunct w:val="0"/>
        <w:bidi w:val="0"/>
        <w:adjustRightInd w:val="0"/>
        <w:snapToGrid w:val="0"/>
        <w:spacing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二、资格要求：</w:t>
      </w:r>
    </w:p>
    <w:p>
      <w:pPr>
        <w:keepNext w:val="0"/>
        <w:keepLines w:val="0"/>
        <w:pageBreakBefore w:val="0"/>
        <w:widowControl w:val="0"/>
        <w:kinsoku/>
        <w:overflowPunct/>
        <w:topLinePunct w:val="0"/>
        <w:bidi w:val="0"/>
        <w:adjustRightInd w:val="0"/>
        <w:snapToGrid w:val="0"/>
        <w:spacing w:line="360" w:lineRule="auto"/>
        <w:ind w:firstLine="480" w:firstLineChars="200"/>
        <w:jc w:val="left"/>
        <w:textAlignment w:val="auto"/>
        <w:outlineLvl w:val="9"/>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none"/>
          <w:lang w:val="en-US" w:eastAsia="zh-CN"/>
        </w:rPr>
        <w:t>报价单位具有独立法人资格并依法取得企业营业执照（或事业单位法人证书），营业执照（或事业单位法人证书）处于有效期</w:t>
      </w:r>
      <w:r>
        <w:rPr>
          <w:rFonts w:hint="eastAsia" w:ascii="仿宋" w:hAnsi="仿宋" w:eastAsia="仿宋" w:cs="仿宋"/>
          <w:color w:val="auto"/>
          <w:sz w:val="24"/>
          <w:szCs w:val="24"/>
          <w:highlight w:val="none"/>
          <w:u w:val="none"/>
        </w:rPr>
        <w:t>；</w:t>
      </w:r>
    </w:p>
    <w:p>
      <w:pPr>
        <w:pStyle w:val="9"/>
        <w:rPr>
          <w:rFonts w:hint="default" w:eastAsia="仿宋"/>
          <w:highlight w:val="none"/>
          <w:lang w:val="en-US" w:eastAsia="zh-CN"/>
        </w:rPr>
      </w:pPr>
      <w:r>
        <w:rPr>
          <w:rFonts w:hint="eastAsia" w:ascii="仿宋" w:hAnsi="仿宋" w:eastAsia="仿宋" w:cs="仿宋"/>
          <w:color w:val="auto"/>
          <w:sz w:val="24"/>
          <w:szCs w:val="24"/>
          <w:highlight w:val="none"/>
          <w:u w:val="none"/>
          <w:lang w:val="en-US" w:eastAsia="zh-CN"/>
        </w:rPr>
        <w:t xml:space="preserve">    2.报价单位须在应急管理部消防救援局《社会消防技术服务信息系统》中备案登记；</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报价单位</w:t>
      </w:r>
      <w:r>
        <w:rPr>
          <w:rFonts w:hint="eastAsia" w:ascii="仿宋" w:hAnsi="仿宋" w:eastAsia="仿宋" w:cs="仿宋"/>
          <w:color w:val="auto"/>
          <w:sz w:val="24"/>
          <w:szCs w:val="24"/>
          <w:highlight w:val="none"/>
        </w:rPr>
        <w:t>近</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年（以提交报价文件截止时间前36个月内为有效）至</w:t>
      </w:r>
      <w:r>
        <w:rPr>
          <w:rFonts w:hint="eastAsia" w:ascii="仿宋" w:hAnsi="仿宋" w:eastAsia="仿宋" w:cs="仿宋"/>
          <w:b w:val="0"/>
          <w:bCs w:val="0"/>
          <w:color w:val="auto"/>
          <w:sz w:val="24"/>
          <w:szCs w:val="24"/>
          <w:highlight w:val="none"/>
        </w:rPr>
        <w:t>少</w:t>
      </w:r>
      <w:r>
        <w:rPr>
          <w:rFonts w:hint="eastAsia" w:ascii="仿宋" w:hAnsi="仿宋" w:eastAsia="仿宋" w:cs="仿宋"/>
          <w:b/>
          <w:bCs/>
          <w:color w:val="auto"/>
          <w:sz w:val="24"/>
          <w:szCs w:val="24"/>
          <w:highlight w:val="none"/>
          <w:lang w:val="en-US" w:eastAsia="zh-CN"/>
        </w:rPr>
        <w:t>承担过</w:t>
      </w:r>
      <w:r>
        <w:rPr>
          <w:rFonts w:hint="eastAsia" w:ascii="仿宋" w:hAnsi="仿宋" w:eastAsia="仿宋" w:cs="仿宋"/>
          <w:b/>
          <w:bCs/>
          <w:color w:val="auto"/>
          <w:sz w:val="24"/>
          <w:szCs w:val="24"/>
          <w:highlight w:val="none"/>
        </w:rPr>
        <w:t>一个建筑消防设施检测或消防器材维保业绩</w:t>
      </w:r>
      <w:r>
        <w:rPr>
          <w:rFonts w:hint="eastAsia" w:ascii="仿宋" w:hAnsi="仿宋" w:eastAsia="仿宋" w:cs="仿宋"/>
          <w:color w:val="auto"/>
          <w:sz w:val="24"/>
          <w:szCs w:val="24"/>
          <w:highlight w:val="none"/>
        </w:rPr>
        <w:t>。类似业绩</w:t>
      </w:r>
      <w:r>
        <w:rPr>
          <w:rFonts w:hint="eastAsia" w:ascii="仿宋" w:hAnsi="仿宋" w:eastAsia="仿宋" w:cs="仿宋"/>
          <w:color w:val="auto"/>
          <w:sz w:val="24"/>
          <w:szCs w:val="24"/>
          <w:highlight w:val="none"/>
          <w:lang w:val="en-US" w:eastAsia="zh-CN"/>
        </w:rPr>
        <w:t>证明资料</w:t>
      </w:r>
      <w:r>
        <w:rPr>
          <w:rFonts w:hint="eastAsia" w:ascii="仿宋" w:hAnsi="仿宋" w:eastAsia="仿宋" w:cs="仿宋"/>
          <w:color w:val="auto"/>
          <w:sz w:val="24"/>
          <w:szCs w:val="24"/>
          <w:highlight w:val="none"/>
          <w:u w:val="none"/>
        </w:rPr>
        <w:t>：须提供合同复印件并加盖</w:t>
      </w:r>
      <w:r>
        <w:rPr>
          <w:rFonts w:hint="eastAsia" w:ascii="仿宋" w:hAnsi="仿宋" w:eastAsia="仿宋" w:cs="仿宋"/>
          <w:color w:val="auto"/>
          <w:sz w:val="24"/>
          <w:szCs w:val="24"/>
          <w:highlight w:val="none"/>
          <w:u w:val="none"/>
          <w:lang w:val="en-US" w:eastAsia="zh-CN"/>
        </w:rPr>
        <w:t>报价单位</w:t>
      </w:r>
      <w:r>
        <w:rPr>
          <w:rFonts w:hint="eastAsia" w:ascii="仿宋" w:hAnsi="仿宋" w:eastAsia="仿宋" w:cs="仿宋"/>
          <w:color w:val="auto"/>
          <w:sz w:val="24"/>
          <w:szCs w:val="24"/>
          <w:highlight w:val="none"/>
          <w:u w:val="none"/>
        </w:rPr>
        <w:t>公章；有效时间以合同中甲方签订日期为准。如合同信息无法证明相关要求，须提供业主盖章证明资料</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u w:val="single"/>
        </w:rPr>
        <w:t>不接受</w:t>
      </w:r>
      <w:r>
        <w:rPr>
          <w:rFonts w:hint="eastAsia" w:ascii="仿宋" w:hAnsi="仿宋" w:eastAsia="仿宋" w:cs="仿宋"/>
          <w:color w:val="auto"/>
          <w:sz w:val="24"/>
          <w:szCs w:val="24"/>
          <w:highlight w:val="none"/>
        </w:rPr>
        <w:t>联合体形式参与报价；</w:t>
      </w:r>
    </w:p>
    <w:p>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参与报价单位须在长沙城发集团招采交易平台（https://erp.csudgroup.com:9982）进行供应商注册</w:t>
      </w:r>
      <w:r>
        <w:rPr>
          <w:rFonts w:hint="eastAsia" w:ascii="仿宋" w:hAnsi="仿宋" w:eastAsia="仿宋" w:cs="仿宋"/>
          <w:color w:val="auto"/>
          <w:sz w:val="24"/>
          <w:szCs w:val="24"/>
          <w:highlight w:val="none"/>
        </w:rPr>
        <w:t>；</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.其它：</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w:t>
      </w:r>
    </w:p>
    <w:p>
      <w:pPr>
        <w:keepNext w:val="0"/>
        <w:keepLines w:val="0"/>
        <w:pageBreakBefore w:val="0"/>
        <w:widowControl w:val="0"/>
        <w:kinsoku/>
        <w:overflowPunct/>
        <w:topLinePunct w:val="0"/>
        <w:bidi w:val="0"/>
        <w:adjustRightInd w:val="0"/>
        <w:snapToGrid w:val="0"/>
        <w:spacing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三、公告时间、报价时间、报价文件：</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1.公告时间：请有意愿参与报价的单位从</w:t>
      </w:r>
      <w:r>
        <w:rPr>
          <w:rFonts w:hint="eastAsia" w:ascii="仿宋" w:hAnsi="仿宋" w:eastAsia="仿宋" w:cs="仿宋"/>
          <w:color w:val="auto"/>
          <w:sz w:val="24"/>
          <w:szCs w:val="24"/>
          <w:highlight w:val="none"/>
          <w:u w:val="single"/>
        </w:rPr>
        <w:t>竞价公告发布之日</w:t>
      </w:r>
      <w:r>
        <w:rPr>
          <w:rFonts w:hint="eastAsia" w:ascii="仿宋" w:hAnsi="仿宋" w:eastAsia="仿宋" w:cs="仿宋"/>
          <w:color w:val="auto"/>
          <w:sz w:val="24"/>
          <w:szCs w:val="24"/>
          <w:highlight w:val="none"/>
        </w:rPr>
        <w:t>起在长沙城发集团招采交易平台（https://erp.csudgroup.com:9982）下载数据电文形式的竞价文件、合同、附件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等资料</w:t>
      </w:r>
      <w:r>
        <w:rPr>
          <w:rFonts w:hint="eastAsia" w:ascii="仿宋" w:hAnsi="仿宋" w:eastAsia="仿宋" w:cs="仿宋"/>
          <w:color w:val="auto"/>
          <w:sz w:val="24"/>
          <w:szCs w:val="24"/>
          <w:highlight w:val="none"/>
          <w:lang w:eastAsia="zh-CN"/>
        </w:rPr>
        <w:t>。</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文件递交的截止时间及开标时间</w:t>
      </w:r>
      <w:r>
        <w:rPr>
          <w:rFonts w:hint="eastAsia" w:ascii="仿宋" w:hAnsi="仿宋" w:eastAsia="仿宋" w:cs="仿宋"/>
          <w:color w:val="auto"/>
          <w:sz w:val="24"/>
          <w:szCs w:val="24"/>
          <w:highlight w:val="none"/>
          <w:lang w:val="en-US" w:eastAsia="zh-CN"/>
        </w:rPr>
        <w:t>为2024年6月11日09:30</w:t>
      </w:r>
      <w:r>
        <w:rPr>
          <w:rFonts w:hint="eastAsia" w:ascii="仿宋" w:hAnsi="仿宋" w:eastAsia="仿宋" w:cs="仿宋"/>
          <w:color w:val="auto"/>
          <w:sz w:val="24"/>
          <w:szCs w:val="24"/>
          <w:highlight w:val="none"/>
        </w:rPr>
        <w:t>；地点为湖南省长沙市岳麓区枫林三路西中心T2栋25楼相应开标室（具体详见大屏幕）；逾期送达的、未送达指定地点或未按照竞价公告要求密封的</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文件，招选人将予以拒收</w:t>
      </w:r>
      <w:r>
        <w:rPr>
          <w:rFonts w:hint="eastAsia" w:ascii="仿宋" w:hAnsi="仿宋" w:eastAsia="仿宋" w:cs="仿宋"/>
          <w:color w:val="auto"/>
          <w:sz w:val="24"/>
          <w:szCs w:val="24"/>
          <w:highlight w:val="none"/>
          <w:lang w:eastAsia="zh-CN"/>
        </w:rPr>
        <w:t>。</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文件：</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（1）按报价文件格式编制；</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（2）报价文件一式三份，其中正本一份，副本二份；</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（3）报价文件正本与副本一起密封包装，报价文件的密封袋封套上注明项目名称及参与报价单位名称等内容，加贴封条，并在封套的封口处加盖报价单位公章；</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报价单位</w:t>
      </w:r>
      <w:r>
        <w:rPr>
          <w:rFonts w:hint="eastAsia" w:ascii="仿宋" w:hAnsi="仿宋" w:eastAsia="仿宋" w:cs="仿宋"/>
          <w:color w:val="auto"/>
          <w:sz w:val="24"/>
          <w:szCs w:val="24"/>
          <w:highlight w:val="none"/>
        </w:rPr>
        <w:t>必须派法定代表人持法定代表人身份证明原件或法定代表人的委托代理人持授权委托书原件（格式详见</w:t>
      </w:r>
      <w:r>
        <w:rPr>
          <w:rFonts w:hint="eastAsia" w:ascii="仿宋" w:hAnsi="仿宋" w:eastAsia="仿宋" w:cs="仿宋"/>
          <w:color w:val="auto"/>
          <w:sz w:val="24"/>
          <w:szCs w:val="24"/>
          <w:highlight w:val="none"/>
          <w:lang w:val="en-US" w:eastAsia="zh-CN"/>
        </w:rPr>
        <w:t>第四章报价文件格式</w:t>
      </w:r>
      <w:r>
        <w:rPr>
          <w:rFonts w:hint="eastAsia" w:ascii="仿宋" w:hAnsi="仿宋" w:eastAsia="仿宋" w:cs="仿宋"/>
          <w:color w:val="auto"/>
          <w:sz w:val="24"/>
          <w:szCs w:val="24"/>
          <w:highlight w:val="none"/>
        </w:rPr>
        <w:t>）及其身份证原件参加现场开标会议，否则，其报价将被拒绝。</w:t>
      </w:r>
    </w:p>
    <w:p>
      <w:pPr>
        <w:keepNext w:val="0"/>
        <w:keepLines w:val="0"/>
        <w:pageBreakBefore w:val="0"/>
        <w:widowControl w:val="0"/>
        <w:kinsoku/>
        <w:overflowPunct/>
        <w:topLinePunct w:val="0"/>
        <w:bidi w:val="0"/>
        <w:adjustRightInd w:val="0"/>
        <w:snapToGrid w:val="0"/>
        <w:spacing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四、无效</w:t>
      </w:r>
      <w:r>
        <w:rPr>
          <w:rFonts w:hint="eastAsia" w:ascii="仿宋" w:hAnsi="仿宋" w:eastAsia="仿宋" w:cs="仿宋"/>
          <w:b/>
          <w:bCs/>
          <w:color w:val="auto"/>
          <w:sz w:val="24"/>
          <w:szCs w:val="24"/>
          <w:highlight w:val="none"/>
          <w:lang w:eastAsia="zh-CN"/>
        </w:rPr>
        <w:t>报价</w:t>
      </w:r>
      <w:r>
        <w:rPr>
          <w:rFonts w:hint="eastAsia" w:ascii="仿宋" w:hAnsi="仿宋" w:eastAsia="仿宋" w:cs="仿宋"/>
          <w:b/>
          <w:bCs/>
          <w:color w:val="auto"/>
          <w:sz w:val="24"/>
          <w:szCs w:val="24"/>
          <w:highlight w:val="none"/>
        </w:rPr>
        <w:t>文件</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报价单位</w:t>
      </w:r>
      <w:r>
        <w:rPr>
          <w:rFonts w:hint="eastAsia" w:ascii="仿宋" w:hAnsi="仿宋" w:eastAsia="仿宋" w:cs="仿宋"/>
          <w:color w:val="auto"/>
          <w:sz w:val="24"/>
          <w:szCs w:val="24"/>
          <w:highlight w:val="none"/>
        </w:rPr>
        <w:t>存在下列情况之一的，视为无效报价：</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color w:val="auto"/>
          <w:sz w:val="24"/>
          <w:szCs w:val="24"/>
          <w:highlight w:val="none"/>
          <w:lang w:val="en-US" w:eastAsia="zh-CN"/>
        </w:rPr>
        <w:t>报价单位</w:t>
      </w:r>
      <w:r>
        <w:rPr>
          <w:rFonts w:hint="eastAsia" w:ascii="仿宋" w:hAnsi="仿宋" w:eastAsia="仿宋" w:cs="仿宋"/>
          <w:sz w:val="24"/>
          <w:szCs w:val="24"/>
          <w:highlight w:val="none"/>
        </w:rPr>
        <w:t>报价不得超过本项目上限值，超过本项目上限值的报价为无效报价；</w:t>
      </w:r>
    </w:p>
    <w:p>
      <w:pPr>
        <w:pStyle w:val="14"/>
        <w:keepNext w:val="0"/>
        <w:keepLines w:val="0"/>
        <w:pageBreakBefore w:val="0"/>
        <w:widowControl w:val="0"/>
        <w:kinsoku/>
        <w:overflowPunct/>
        <w:topLinePunct w:val="0"/>
        <w:bidi w:val="0"/>
        <w:adjustRightInd w:val="0"/>
        <w:snapToGrid w:val="0"/>
        <w:spacing w:after="0" w:line="360" w:lineRule="auto"/>
        <w:ind w:left="0" w:leftChars="0" w:firstLine="480" w:firstLineChars="200"/>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2.超过本项目服务期限的视为无效报价；</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3.不允许有缺漏项，</w:t>
      </w:r>
      <w:r>
        <w:rPr>
          <w:rFonts w:hint="eastAsia" w:ascii="仿宋" w:hAnsi="仿宋" w:eastAsia="仿宋" w:cs="仿宋"/>
          <w:color w:val="auto"/>
          <w:sz w:val="24"/>
          <w:szCs w:val="24"/>
          <w:highlight w:val="none"/>
          <w:lang w:val="en-US" w:eastAsia="zh-CN"/>
        </w:rPr>
        <w:t>报价单位</w:t>
      </w:r>
      <w:r>
        <w:rPr>
          <w:rFonts w:hint="eastAsia" w:ascii="仿宋" w:hAnsi="仿宋" w:eastAsia="仿宋" w:cs="仿宋"/>
          <w:sz w:val="24"/>
          <w:szCs w:val="24"/>
          <w:highlight w:val="none"/>
        </w:rPr>
        <w:t>如有报价缺漏项视为无效报价；</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4.其它：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kinsoku/>
        <w:overflowPunct/>
        <w:topLinePunct w:val="0"/>
        <w:bidi w:val="0"/>
        <w:adjustRightInd w:val="0"/>
        <w:snapToGrid w:val="0"/>
        <w:spacing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五、竞价办法</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由招选人对参与</w:t>
      </w:r>
      <w:r>
        <w:rPr>
          <w:rFonts w:hint="eastAsia" w:ascii="仿宋" w:hAnsi="仿宋" w:eastAsia="仿宋" w:cs="仿宋"/>
          <w:color w:val="auto"/>
          <w:sz w:val="24"/>
          <w:szCs w:val="24"/>
          <w:highlight w:val="none"/>
          <w:lang w:val="en-US" w:eastAsia="zh-CN"/>
        </w:rPr>
        <w:t>的报价单位</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u w:val="single"/>
        </w:rPr>
        <w:t>资格审查及报价总价</w:t>
      </w:r>
      <w:r>
        <w:rPr>
          <w:rFonts w:hint="eastAsia" w:ascii="仿宋" w:hAnsi="仿宋" w:eastAsia="仿宋" w:cs="仿宋"/>
          <w:color w:val="auto"/>
          <w:sz w:val="24"/>
          <w:szCs w:val="24"/>
          <w:highlight w:val="none"/>
        </w:rPr>
        <w:t>比较，资格审查合格且</w:t>
      </w:r>
      <w:r>
        <w:rPr>
          <w:rFonts w:hint="eastAsia" w:ascii="仿宋" w:hAnsi="仿宋" w:eastAsia="仿宋" w:cs="仿宋"/>
          <w:color w:val="auto"/>
          <w:sz w:val="24"/>
          <w:szCs w:val="24"/>
          <w:highlight w:val="none"/>
          <w:u w:val="single"/>
        </w:rPr>
        <w:t>总价最低</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报价单位</w:t>
      </w:r>
      <w:r>
        <w:rPr>
          <w:rFonts w:hint="eastAsia" w:ascii="仿宋" w:hAnsi="仿宋" w:eastAsia="仿宋" w:cs="仿宋"/>
          <w:color w:val="auto"/>
          <w:sz w:val="24"/>
          <w:szCs w:val="24"/>
          <w:highlight w:val="none"/>
        </w:rPr>
        <w:t>推荐为该项目第一中选候选人，若出现两家或两家以上的</w:t>
      </w:r>
      <w:r>
        <w:rPr>
          <w:rFonts w:hint="eastAsia" w:ascii="仿宋" w:hAnsi="仿宋" w:eastAsia="仿宋" w:cs="仿宋"/>
          <w:color w:val="auto"/>
          <w:sz w:val="24"/>
          <w:szCs w:val="24"/>
          <w:highlight w:val="none"/>
          <w:lang w:val="en-US" w:eastAsia="zh-CN"/>
        </w:rPr>
        <w:t>报价单位</w:t>
      </w:r>
      <w:r>
        <w:rPr>
          <w:rFonts w:hint="eastAsia" w:ascii="仿宋" w:hAnsi="仿宋" w:eastAsia="仿宋" w:cs="仿宋"/>
          <w:color w:val="auto"/>
          <w:sz w:val="24"/>
          <w:szCs w:val="24"/>
          <w:highlight w:val="none"/>
        </w:rPr>
        <w:t>报价相同且最低时，则由招选人在监督人员的监督下采用现场随机抽取的方式确定中选单位。</w:t>
      </w:r>
    </w:p>
    <w:p>
      <w:pPr>
        <w:keepNext w:val="0"/>
        <w:keepLines w:val="0"/>
        <w:pageBreakBefore w:val="0"/>
        <w:widowControl w:val="0"/>
        <w:numPr>
          <w:ilvl w:val="0"/>
          <w:numId w:val="1"/>
        </w:numPr>
        <w:kinsoku/>
        <w:overflowPunct/>
        <w:topLinePunct w:val="0"/>
        <w:bidi w:val="0"/>
        <w:adjustRightInd w:val="0"/>
        <w:snapToGrid w:val="0"/>
        <w:spacing w:line="360" w:lineRule="auto"/>
        <w:ind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负面清单</w:t>
      </w:r>
    </w:p>
    <w:p>
      <w:pPr>
        <w:keepNext w:val="0"/>
        <w:keepLines w:val="0"/>
        <w:pageBreakBefore w:val="0"/>
        <w:widowControl w:val="0"/>
        <w:numPr>
          <w:ilvl w:val="0"/>
          <w:numId w:val="0"/>
        </w:numPr>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出现包括但不限于下列情况的，招选人将列入长沙城市发展集团招采交易不规范行为负面清单。中选候选人如出现下列情形的，招选人有权确定有能力履行合同的第二中选单位候选人中选，或重新组织报价。</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1.开标后</w:t>
      </w:r>
      <w:r>
        <w:rPr>
          <w:rFonts w:hint="eastAsia" w:ascii="仿宋" w:hAnsi="仿宋" w:eastAsia="仿宋" w:cs="仿宋"/>
          <w:color w:val="auto"/>
          <w:sz w:val="24"/>
          <w:szCs w:val="24"/>
          <w:highlight w:val="none"/>
          <w:lang w:val="en-US" w:eastAsia="zh-CN"/>
        </w:rPr>
        <w:t>报价单位</w:t>
      </w:r>
      <w:r>
        <w:rPr>
          <w:rFonts w:hint="eastAsia" w:ascii="仿宋" w:hAnsi="仿宋" w:eastAsia="仿宋" w:cs="仿宋"/>
          <w:color w:val="auto"/>
          <w:sz w:val="24"/>
          <w:szCs w:val="24"/>
          <w:highlight w:val="none"/>
        </w:rPr>
        <w:t>提出撤回或撤销报价或放弃中选资格或对报价提出实质性修改；</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2.中选人未能在规定期限内签订合同或不按报价结果签订合同；</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3.中选人在合同订立过程中未能完全响应竞价文件、合同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附件要求以致合同无法订立的；</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4.经查实</w:t>
      </w:r>
      <w:r>
        <w:rPr>
          <w:rFonts w:hint="eastAsia" w:ascii="仿宋" w:hAnsi="仿宋" w:eastAsia="仿宋" w:cs="仿宋"/>
          <w:color w:val="auto"/>
          <w:sz w:val="24"/>
          <w:szCs w:val="24"/>
          <w:highlight w:val="none"/>
          <w:lang w:val="en-US" w:eastAsia="zh-CN"/>
        </w:rPr>
        <w:t>报价单位</w:t>
      </w:r>
      <w:r>
        <w:rPr>
          <w:rFonts w:hint="eastAsia" w:ascii="仿宋" w:hAnsi="仿宋" w:eastAsia="仿宋" w:cs="仿宋"/>
          <w:color w:val="auto"/>
          <w:sz w:val="24"/>
          <w:szCs w:val="24"/>
          <w:highlight w:val="none"/>
        </w:rPr>
        <w:t>报价资料弄虚作假的；</w:t>
      </w:r>
    </w:p>
    <w:p>
      <w:pPr>
        <w:pStyle w:val="24"/>
        <w:keepNext w:val="0"/>
        <w:keepLines w:val="0"/>
        <w:pageBreakBefore w:val="0"/>
        <w:widowControl w:val="0"/>
        <w:kinsoku/>
        <w:overflowPunct/>
        <w:topLinePunct w:val="0"/>
        <w:bidi w:val="0"/>
        <w:adjustRightInd w:val="0"/>
        <w:snapToGrid w:val="0"/>
        <w:spacing w:after="0" w:line="360" w:lineRule="auto"/>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5.所承诺内容不属实的。</w:t>
      </w:r>
    </w:p>
    <w:p>
      <w:pPr>
        <w:keepNext w:val="0"/>
        <w:keepLines w:val="0"/>
        <w:pageBreakBefore w:val="0"/>
        <w:widowControl w:val="0"/>
        <w:kinsoku/>
        <w:overflowPunct/>
        <w:topLinePunct w:val="0"/>
        <w:bidi w:val="0"/>
        <w:adjustRightInd w:val="0"/>
        <w:snapToGrid w:val="0"/>
        <w:spacing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七、其它</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1.本项目报价响应有效期应在报价截止日后90天内保持有效。若参与报价则视为响应此报价有效期。</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2.招选人保留取消本次采购、授予合同的权利。</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报价单位</w:t>
      </w:r>
      <w:r>
        <w:rPr>
          <w:rFonts w:hint="eastAsia" w:ascii="仿宋" w:hAnsi="仿宋" w:eastAsia="仿宋" w:cs="仿宋"/>
          <w:color w:val="auto"/>
          <w:sz w:val="24"/>
          <w:szCs w:val="24"/>
          <w:highlight w:val="none"/>
        </w:rPr>
        <w:t>或利害关系人对本公告内容有异议的，向招选人书面提出。</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竞价公告中所设置的内容、条款及未尽事宜，均以国家、省、市或长沙城市发展集团有限公司招采制度有关规定为准。本公告同时在《中国招标投标公共服务平台》（http://www.cebpubservice.com/）、《长沙城发集团招采交易平台网站》（https://erp.csudgroup.com:9982）上发布，本公告的修改、补充，在上述各网站同步公布。</w:t>
      </w:r>
    </w:p>
    <w:p>
      <w:pPr>
        <w:pStyle w:val="24"/>
        <w:keepNext w:val="0"/>
        <w:keepLines w:val="0"/>
        <w:pageBreakBefore w:val="0"/>
        <w:widowControl w:val="0"/>
        <w:kinsoku/>
        <w:overflowPunct/>
        <w:topLinePunct w:val="0"/>
        <w:bidi w:val="0"/>
        <w:adjustRightInd w:val="0"/>
        <w:snapToGrid w:val="0"/>
        <w:spacing w:after="0" w:line="360" w:lineRule="auto"/>
        <w:ind w:left="0" w:leftChars="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文件递交截止时间止参与报价单位少于3个的，招选人应重新发布竞价公告</w:t>
      </w:r>
      <w:r>
        <w:rPr>
          <w:rFonts w:hint="eastAsia" w:ascii="仿宋" w:hAnsi="仿宋" w:eastAsia="仿宋" w:cs="仿宋"/>
          <w:color w:val="auto"/>
          <w:sz w:val="24"/>
          <w:szCs w:val="24"/>
          <w:highlight w:val="none"/>
          <w:lang w:eastAsia="zh-CN"/>
        </w:rPr>
        <w:t>。</w:t>
      </w:r>
    </w:p>
    <w:p>
      <w:pPr>
        <w:keepNext w:val="0"/>
        <w:keepLines w:val="0"/>
        <w:pageBreakBefore w:val="0"/>
        <w:widowControl w:val="0"/>
        <w:kinsoku/>
        <w:overflowPunct/>
        <w:topLinePunct w:val="0"/>
        <w:bidi w:val="0"/>
        <w:adjustRightInd w:val="0"/>
        <w:snapToGrid w:val="0"/>
        <w:spacing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八、异议、投诉及举报</w:t>
      </w:r>
      <w:bookmarkStart w:id="1" w:name="_Toc2155_WPSOffice_Level2"/>
      <w:bookmarkStart w:id="2" w:name="_Toc3708_WPSOffice_Level2"/>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（一）异议联系部门（或单位）</w:t>
      </w:r>
      <w:bookmarkEnd w:id="1"/>
      <w:bookmarkEnd w:id="2"/>
      <w:bookmarkStart w:id="3" w:name="_Toc9735_WPSOffice_Level3"/>
    </w:p>
    <w:bookmarkEnd w:id="3"/>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u w:val="none"/>
        </w:rPr>
      </w:pPr>
      <w:bookmarkStart w:id="4" w:name="_Toc22492_WPSOffice_Level3"/>
      <w:r>
        <w:rPr>
          <w:rFonts w:hint="eastAsia" w:ascii="仿宋" w:hAnsi="仿宋" w:eastAsia="仿宋" w:cs="仿宋"/>
          <w:color w:val="auto"/>
          <w:sz w:val="24"/>
          <w:szCs w:val="24"/>
          <w:highlight w:val="none"/>
          <w:u w:val="none"/>
        </w:rPr>
        <w:t>招选人：</w:t>
      </w:r>
      <w:r>
        <w:rPr>
          <w:rFonts w:hint="eastAsia" w:ascii="仿宋" w:hAnsi="仿宋" w:eastAsia="仿宋" w:cs="仿宋"/>
          <w:color w:val="auto"/>
          <w:sz w:val="24"/>
          <w:szCs w:val="24"/>
          <w:highlight w:val="none"/>
          <w:u w:val="none"/>
          <w:lang w:eastAsia="zh-CN"/>
        </w:rPr>
        <w:t>长沙城发能源有限公司</w:t>
      </w:r>
      <w:r>
        <w:rPr>
          <w:rFonts w:hint="eastAsia" w:ascii="仿宋" w:hAnsi="仿宋" w:eastAsia="仿宋" w:cs="仿宋"/>
          <w:color w:val="auto"/>
          <w:sz w:val="24"/>
          <w:szCs w:val="24"/>
          <w:highlight w:val="none"/>
          <w:u w:val="none"/>
        </w:rPr>
        <w:t>；</w:t>
      </w:r>
      <w:bookmarkEnd w:id="4"/>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w:t>
      </w:r>
      <w:r>
        <w:rPr>
          <w:rFonts w:hint="eastAsia" w:ascii="仿宋" w:hAnsi="仿宋" w:eastAsia="仿宋" w:cs="仿宋"/>
          <w:color w:val="auto"/>
          <w:sz w:val="24"/>
          <w:szCs w:val="24"/>
          <w:highlight w:val="none"/>
        </w:rPr>
        <w:t>长沙市岳麓区先导路湘江时代商务广场A1座13层</w:t>
      </w:r>
      <w:r>
        <w:rPr>
          <w:rFonts w:hint="eastAsia" w:ascii="仿宋" w:hAnsi="仿宋" w:eastAsia="仿宋" w:cs="仿宋"/>
          <w:color w:val="auto"/>
          <w:sz w:val="24"/>
          <w:szCs w:val="24"/>
          <w:highlight w:val="none"/>
          <w:u w:val="none"/>
        </w:rPr>
        <w:t>；</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联系人：</w:t>
      </w:r>
      <w:r>
        <w:rPr>
          <w:rFonts w:hint="eastAsia" w:ascii="仿宋" w:hAnsi="仿宋" w:eastAsia="仿宋" w:cs="仿宋"/>
          <w:color w:val="auto"/>
          <w:sz w:val="24"/>
          <w:szCs w:val="24"/>
          <w:highlight w:val="none"/>
          <w:u w:val="none"/>
          <w:lang w:val="en-US" w:eastAsia="zh-CN"/>
        </w:rPr>
        <w:t>范女士</w:t>
      </w:r>
      <w:r>
        <w:rPr>
          <w:rFonts w:hint="eastAsia" w:ascii="仿宋" w:hAnsi="仿宋" w:eastAsia="仿宋" w:cs="仿宋"/>
          <w:color w:val="auto"/>
          <w:sz w:val="24"/>
          <w:szCs w:val="24"/>
          <w:highlight w:val="none"/>
          <w:u w:val="none"/>
        </w:rPr>
        <w:t>；</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电话：</w:t>
      </w:r>
      <w:r>
        <w:rPr>
          <w:rFonts w:hint="eastAsia" w:ascii="仿宋" w:hAnsi="仿宋" w:eastAsia="仿宋" w:cs="仿宋"/>
          <w:color w:val="auto"/>
          <w:sz w:val="24"/>
          <w:szCs w:val="24"/>
          <w:highlight w:val="none"/>
          <w:u w:val="none"/>
          <w:lang w:val="en-US" w:eastAsia="zh-CN"/>
        </w:rPr>
        <w:t>13873137090</w:t>
      </w:r>
      <w:r>
        <w:rPr>
          <w:rFonts w:hint="eastAsia" w:ascii="仿宋" w:hAnsi="仿宋" w:eastAsia="仿宋" w:cs="仿宋"/>
          <w:color w:val="auto"/>
          <w:sz w:val="24"/>
          <w:szCs w:val="24"/>
          <w:highlight w:val="none"/>
          <w:u w:val="none"/>
        </w:rPr>
        <w:t>；</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bookmarkStart w:id="5" w:name="_Toc27028_WPSOffice_Level2"/>
      <w:bookmarkStart w:id="6" w:name="_Toc18692_WPSOffice_Level2"/>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）投诉联系部门</w:t>
      </w:r>
      <w:bookmarkEnd w:id="5"/>
      <w:bookmarkEnd w:id="6"/>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联系部门：长沙城市发展集团有限公司招采合约部</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电话：0731-88222956</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地址：长沙市岳麓区先导路湘江时代商务广场A1座13层</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bookmarkStart w:id="7" w:name="_Toc10549_WPSOffice_Level2"/>
      <w:bookmarkStart w:id="8" w:name="_Toc24660_WPSOffice_Level2"/>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）举报联系部门</w:t>
      </w:r>
      <w:bookmarkEnd w:id="7"/>
      <w:bookmarkEnd w:id="8"/>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监督部门：长沙城市发展集团有限公司纪检监察室</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电话：0731-88797919</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地址：长沙市岳麓区先导路湘江时代商务广场A1座13A层</w:t>
      </w:r>
    </w:p>
    <w:p>
      <w:pPr>
        <w:keepNext w:val="0"/>
        <w:keepLines w:val="0"/>
        <w:pageBreakBefore w:val="0"/>
        <w:widowControl w:val="0"/>
        <w:kinsoku/>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邮箱：cscfjj@163.com</w:t>
      </w:r>
    </w:p>
    <w:p>
      <w:pPr>
        <w:keepNext w:val="0"/>
        <w:keepLines w:val="0"/>
        <w:pageBreakBefore w:val="0"/>
        <w:widowControl w:val="0"/>
        <w:kinsoku/>
        <w:overflowPunct/>
        <w:topLinePunct w:val="0"/>
        <w:bidi w:val="0"/>
        <w:adjustRightInd w:val="0"/>
        <w:snapToGrid w:val="0"/>
        <w:spacing w:line="360" w:lineRule="auto"/>
        <w:ind w:firstLine="480" w:firstLineChars="200"/>
        <w:jc w:val="left"/>
        <w:textAlignment w:val="auto"/>
        <w:outlineLvl w:val="9"/>
        <w:rPr>
          <w:rFonts w:hint="eastAsia" w:ascii="仿宋" w:hAnsi="仿宋" w:eastAsia="仿宋" w:cs="仿宋"/>
          <w:color w:val="auto"/>
          <w:sz w:val="24"/>
          <w:szCs w:val="24"/>
          <w:highlight w:val="none"/>
        </w:rPr>
      </w:pPr>
      <w:bookmarkStart w:id="9" w:name="_Toc28230"/>
      <w:bookmarkStart w:id="10" w:name="_Toc144974858"/>
      <w:bookmarkStart w:id="11" w:name="_Toc247527829"/>
      <w:bookmarkStart w:id="12" w:name="_Toc11848"/>
      <w:bookmarkStart w:id="13" w:name="_Toc152042578"/>
      <w:bookmarkStart w:id="14" w:name="_Toc27318_WPSOffice_Level2"/>
      <w:bookmarkStart w:id="15" w:name="_Toc152045789"/>
      <w:bookmarkStart w:id="16" w:name="_Toc9080_WPSOffice_Level2"/>
      <w:bookmarkStart w:id="17" w:name="_Toc247514248"/>
      <w:bookmarkStart w:id="18" w:name="_Toc32766"/>
    </w:p>
    <w:p>
      <w:pPr>
        <w:keepNext w:val="0"/>
        <w:keepLines w:val="0"/>
        <w:pageBreakBefore w:val="0"/>
        <w:widowControl w:val="0"/>
        <w:kinsoku/>
        <w:overflowPunct/>
        <w:topLinePunct w:val="0"/>
        <w:bidi w:val="0"/>
        <w:adjustRightInd w:val="0"/>
        <w:snapToGrid w:val="0"/>
        <w:spacing w:line="360" w:lineRule="auto"/>
        <w:ind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备注：本项目竞价公告获取时间、报价截止时间及开标时间以网站发布的竞价公告为准。</w:t>
      </w:r>
    </w:p>
    <w:p>
      <w:pPr>
        <w:outlineLvl w:val="9"/>
        <w:rPr>
          <w:rFonts w:ascii="仿宋" w:hAnsi="仿宋" w:eastAsia="仿宋"/>
          <w:color w:val="auto"/>
          <w:kern w:val="0"/>
          <w:sz w:val="28"/>
          <w:szCs w:val="21"/>
          <w:highlight w:val="none"/>
        </w:rPr>
      </w:pPr>
    </w:p>
    <w:p>
      <w:pPr>
        <w:outlineLvl w:val="9"/>
        <w:rPr>
          <w:rFonts w:hint="eastAsia" w:ascii="仿宋" w:hAnsi="仿宋" w:eastAsia="仿宋"/>
          <w:color w:val="auto"/>
          <w:kern w:val="0"/>
          <w:sz w:val="28"/>
          <w:szCs w:val="21"/>
          <w:highlight w:val="none"/>
        </w:rPr>
      </w:pPr>
      <w:r>
        <w:rPr>
          <w:rFonts w:hint="eastAsia" w:ascii="仿宋" w:hAnsi="仿宋" w:eastAsia="仿宋"/>
          <w:color w:val="auto"/>
          <w:kern w:val="0"/>
          <w:sz w:val="28"/>
          <w:szCs w:val="21"/>
          <w:highlight w:val="none"/>
        </w:rPr>
        <w:br w:type="page"/>
      </w:r>
    </w:p>
    <w:p>
      <w:pPr>
        <w:numPr>
          <w:ilvl w:val="0"/>
          <w:numId w:val="0"/>
        </w:numPr>
        <w:jc w:val="center"/>
        <w:outlineLvl w:val="0"/>
        <w:rPr>
          <w:rFonts w:hint="eastAsia" w:ascii="仿宋" w:hAnsi="仿宋" w:eastAsia="仿宋" w:cs="仿宋"/>
          <w:b/>
          <w:bCs/>
          <w:color w:val="000000" w:themeColor="text1"/>
          <w:kern w:val="0"/>
          <w:sz w:val="44"/>
          <w:szCs w:val="44"/>
          <w:highlight w:val="none"/>
          <w:shd w:val="clear" w:color="auto" w:fill="FFFFFF"/>
          <w:lang w:val="en-US" w:eastAsia="zh-CN" w:bidi="ar-SA"/>
          <w14:textFill>
            <w14:solidFill>
              <w14:schemeClr w14:val="tx1"/>
            </w14:solidFill>
          </w14:textFill>
        </w:rPr>
      </w:pPr>
      <w:bookmarkStart w:id="19" w:name="_Toc9249"/>
      <w:r>
        <w:rPr>
          <w:rFonts w:hint="eastAsia" w:ascii="仿宋" w:hAnsi="仿宋" w:eastAsia="仿宋" w:cs="仿宋"/>
          <w:b/>
          <w:bCs/>
          <w:color w:val="000000" w:themeColor="text1"/>
          <w:kern w:val="0"/>
          <w:sz w:val="44"/>
          <w:szCs w:val="44"/>
          <w:highlight w:val="none"/>
          <w:shd w:val="clear" w:color="auto" w:fill="FFFFFF"/>
          <w:lang w:val="en-US" w:eastAsia="zh-CN" w:bidi="ar-SA"/>
          <w14:textFill>
            <w14:solidFill>
              <w14:schemeClr w14:val="tx1"/>
            </w14:solidFill>
          </w14:textFill>
        </w:rPr>
        <w:t>第二章  合同条款及格式</w:t>
      </w:r>
      <w:bookmarkEnd w:id="19"/>
    </w:p>
    <w:p>
      <w:pPr>
        <w:spacing w:line="360" w:lineRule="auto"/>
        <w:ind w:firstLine="4979" w:firstLineChars="1550"/>
        <w:outlineLvl w:val="9"/>
        <w:rPr>
          <w:rFonts w:hint="eastAsia" w:ascii="仿宋_GB2312" w:hAnsi="宋体" w:eastAsia="仿宋_GB2312" w:cs="宋体"/>
          <w:b/>
          <w:sz w:val="32"/>
          <w:szCs w:val="32"/>
          <w:highlight w:val="none"/>
        </w:rPr>
      </w:pPr>
    </w:p>
    <w:p>
      <w:pPr>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eastAsia="zh-CN"/>
        </w:rPr>
        <w:t>2024年应急物资采购、建筑消防设施检测、消防器材维保服务采购</w:t>
      </w:r>
      <w:r>
        <w:rPr>
          <w:rFonts w:hint="eastAsia" w:ascii="方正小标宋简体" w:hAnsi="方正小标宋简体" w:eastAsia="方正小标宋简体" w:cs="方正小标宋简体"/>
          <w:color w:val="auto"/>
          <w:sz w:val="36"/>
          <w:szCs w:val="36"/>
          <w:highlight w:val="none"/>
        </w:rPr>
        <w:t>年度框架合同</w:t>
      </w:r>
    </w:p>
    <w:p>
      <w:pPr>
        <w:jc w:val="center"/>
        <w:rPr>
          <w:rFonts w:asciiTheme="minorEastAsia" w:hAnsiTheme="minorEastAsia" w:eastAsiaTheme="minorEastAsia"/>
          <w:b/>
          <w:bCs/>
          <w:color w:val="auto"/>
          <w:sz w:val="24"/>
          <w:highlight w:val="none"/>
        </w:rPr>
      </w:pPr>
    </w:p>
    <w:p>
      <w:pP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委托方（以下简称甲方）：</w:t>
      </w:r>
      <w:r>
        <w:rPr>
          <w:rFonts w:hint="eastAsia" w:ascii="仿宋_GB2312" w:hAnsi="仿宋_GB2312" w:eastAsia="仿宋_GB2312" w:cs="仿宋_GB2312"/>
          <w:color w:val="auto"/>
          <w:sz w:val="24"/>
          <w:highlight w:val="none"/>
          <w:u w:val="single"/>
        </w:rPr>
        <w:t xml:space="preserve">  长沙城发能源有限公司      </w:t>
      </w:r>
    </w:p>
    <w:p>
      <w:pP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single"/>
        </w:rPr>
        <w:t xml:space="preserve">  湖南省长沙市岳麓区先导路179号湘江时代商务广场A栋509-516房</w:t>
      </w:r>
    </w:p>
    <w:p>
      <w:pP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受托方（以下简称乙方）：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p>
    <w:p>
      <w:pPr>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根据《中华人民共和国民法典》及有关消防规定，结合甲方消防系统的使用情况，为保证</w:t>
      </w:r>
      <w:r>
        <w:rPr>
          <w:rFonts w:hint="eastAsia" w:ascii="仿宋_GB2312" w:hAnsi="仿宋_GB2312" w:eastAsia="仿宋_GB2312" w:cs="仿宋_GB2312"/>
          <w:color w:val="auto"/>
          <w:sz w:val="24"/>
          <w:highlight w:val="none"/>
          <w:u w:val="single"/>
        </w:rPr>
        <w:t xml:space="preserve"> 长沙城发能源有限公司所属经营场所的消防器材采购与消防设施维保 </w:t>
      </w:r>
      <w:r>
        <w:rPr>
          <w:rFonts w:hint="eastAsia" w:ascii="仿宋_GB2312" w:hAnsi="仿宋_GB2312" w:eastAsia="仿宋_GB2312" w:cs="仿宋_GB2312"/>
          <w:color w:val="auto"/>
          <w:sz w:val="24"/>
          <w:highlight w:val="none"/>
        </w:rPr>
        <w:t>项目</w:t>
      </w:r>
      <w:r>
        <w:rPr>
          <w:rFonts w:hint="eastAsia" w:ascii="仿宋_GB2312" w:hAnsi="仿宋_GB2312" w:eastAsia="仿宋_GB2312" w:cs="仿宋_GB2312"/>
          <w:color w:val="auto"/>
          <w:sz w:val="24"/>
          <w:highlight w:val="none"/>
          <w:lang w:val="en-US" w:eastAsia="zh-CN"/>
        </w:rPr>
        <w:t>及</w:t>
      </w:r>
      <w:r>
        <w:rPr>
          <w:rFonts w:hint="eastAsia" w:ascii="仿宋_GB2312" w:hAnsi="仿宋_GB2312" w:eastAsia="仿宋_GB2312" w:cs="仿宋_GB2312"/>
          <w:color w:val="auto"/>
          <w:sz w:val="24"/>
          <w:highlight w:val="none"/>
        </w:rPr>
        <w:t>消防系统的正常使用，完善设备的保养工作，提高安全防范水平，经双方充分协商，签订本合同，共同信守。</w:t>
      </w:r>
    </w:p>
    <w:p>
      <w:pPr>
        <w:rPr>
          <w:rFonts w:ascii="仿宋_GB2312" w:hAnsi="仿宋_GB2312" w:eastAsia="仿宋_GB2312" w:cs="仿宋_GB2312"/>
          <w:b/>
          <w:bCs/>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第一条    项目概况和维保范围</w:t>
      </w:r>
    </w:p>
    <w:p>
      <w:pPr>
        <w:numPr>
          <w:ilvl w:val="0"/>
          <w:numId w:val="2"/>
        </w:num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项目概况：</w:t>
      </w:r>
    </w:p>
    <w:p>
      <w:pPr>
        <w:pStyle w:val="53"/>
        <w:numPr>
          <w:ilvl w:val="0"/>
          <w:numId w:val="3"/>
        </w:numPr>
        <w:ind w:firstLineChars="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rPr>
        <w:t>2024年应急物资采购、建筑消防设施检测、消防器材维保服务采购</w:t>
      </w:r>
    </w:p>
    <w:p>
      <w:pPr>
        <w:pStyle w:val="53"/>
        <w:numPr>
          <w:ilvl w:val="0"/>
          <w:numId w:val="3"/>
        </w:numPr>
        <w:ind w:firstLineChars="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项目地址：</w:t>
      </w:r>
      <w:r>
        <w:rPr>
          <w:rFonts w:hint="eastAsia" w:ascii="仿宋_GB2312" w:hAnsi="仿宋_GB2312" w:eastAsia="仿宋_GB2312" w:cs="仿宋_GB2312"/>
          <w:color w:val="auto"/>
          <w:sz w:val="24"/>
          <w:highlight w:val="none"/>
          <w:u w:val="single"/>
        </w:rPr>
        <w:t xml:space="preserve">  长沙城发能源有限公司所属加油站、能源站   </w:t>
      </w:r>
    </w:p>
    <w:p>
      <w:pPr>
        <w:pStyle w:val="53"/>
        <w:numPr>
          <w:ilvl w:val="0"/>
          <w:numId w:val="3"/>
        </w:numPr>
        <w:ind w:firstLineChars="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建筑面积：</w:t>
      </w:r>
      <w:r>
        <w:rPr>
          <w:rFonts w:hint="eastAsia" w:ascii="仿宋_GB2312" w:hAnsi="仿宋_GB2312" w:eastAsia="仿宋_GB2312" w:cs="仿宋_GB2312"/>
          <w:color w:val="auto"/>
          <w:sz w:val="24"/>
          <w:highlight w:val="none"/>
          <w:u w:val="single"/>
        </w:rPr>
        <w:t xml:space="preserve">  以实际面积为准 </w:t>
      </w:r>
    </w:p>
    <w:p>
      <w:pPr>
        <w:pStyle w:val="53"/>
        <w:numPr>
          <w:ilvl w:val="0"/>
          <w:numId w:val="3"/>
        </w:numPr>
        <w:ind w:firstLineChars="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现有消防系统和设施：</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1"/>
        <w:gridCol w:w="744"/>
        <w:gridCol w:w="367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现有消防系统和设施</w:t>
            </w:r>
            <w:r>
              <w:rPr>
                <w:rFonts w:hint="eastAsia" w:ascii="仿宋_GB2312" w:hAnsi="仿宋_GB2312" w:eastAsia="仿宋_GB2312" w:cs="仿宋_GB2312"/>
                <w:bCs/>
                <w:color w:val="auto"/>
                <w:sz w:val="24"/>
                <w:highlight w:val="none"/>
              </w:rPr>
              <w:t>（下列项目属于委托内容打“√”，不属于委托内容打“×”）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12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消防设施</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委托维保</w:t>
            </w:r>
          </w:p>
        </w:tc>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12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消防设施</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委托维保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火灾自动报警系统</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w:t>
            </w:r>
          </w:p>
        </w:tc>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消防供配电设施</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消防供水设施</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w:t>
            </w:r>
          </w:p>
        </w:tc>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消火栓（消防炮）灭火系统；</w:t>
            </w:r>
          </w:p>
        </w:tc>
        <w:tc>
          <w:tcPr>
            <w:tcW w:w="44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自动喷水灭火系统</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w:t>
            </w:r>
          </w:p>
        </w:tc>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泡沫灭火系统</w:t>
            </w:r>
          </w:p>
        </w:tc>
        <w:tc>
          <w:tcPr>
            <w:tcW w:w="44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气体灭火系统</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w:t>
            </w:r>
          </w:p>
        </w:tc>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防排烟系统</w:t>
            </w:r>
          </w:p>
        </w:tc>
        <w:tc>
          <w:tcPr>
            <w:tcW w:w="44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火灾应急照明和疏散指示标志</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w:t>
            </w:r>
          </w:p>
        </w:tc>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应急广播系统</w:t>
            </w:r>
          </w:p>
        </w:tc>
        <w:tc>
          <w:tcPr>
            <w:tcW w:w="44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消防专用电话</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w:t>
            </w:r>
          </w:p>
        </w:tc>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防火分隔设施</w:t>
            </w:r>
          </w:p>
        </w:tc>
        <w:tc>
          <w:tcPr>
            <w:tcW w:w="44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消防电梯</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color w:val="auto"/>
                <w:sz w:val="24"/>
                <w:highlight w:val="none"/>
              </w:rPr>
            </w:pPr>
          </w:p>
        </w:tc>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细水雾灭火系统</w:t>
            </w:r>
          </w:p>
        </w:tc>
        <w:tc>
          <w:tcPr>
            <w:tcW w:w="44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防火门监控系统</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w:t>
            </w:r>
          </w:p>
        </w:tc>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可燃气体探测报警系统</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bCs/>
                <w:color w:val="auto"/>
                <w:sz w:val="21"/>
                <w:szCs w:val="21"/>
                <w:highlight w:val="none"/>
              </w:rPr>
            </w:pPr>
            <w:r>
              <w:rPr>
                <w:rFonts w:hint="eastAsia" w:ascii="仿宋_GB2312" w:hAnsi="仿宋_GB2312" w:eastAsia="仿宋_GB2312" w:cs="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电气火灾监控系统</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w:t>
            </w:r>
          </w:p>
        </w:tc>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灭火器</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微型消防站</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w:t>
            </w:r>
          </w:p>
        </w:tc>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highlight w:val="none"/>
              </w:rPr>
            </w:pP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其他消防设施</w:t>
            </w:r>
            <w:r>
              <w:rPr>
                <w:rFonts w:hint="eastAsia" w:ascii="仿宋_GB2312" w:hAnsi="仿宋_GB2312" w:eastAsia="仿宋_GB2312" w:cs="仿宋_GB2312"/>
                <w:bCs/>
                <w:color w:val="auto"/>
                <w:sz w:val="24"/>
                <w:highlight w:val="none"/>
              </w:rPr>
              <w:t>（若有请注明，若无请在下栏打“/”）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新建微型消防站</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4"/>
                <w:highlight w:val="none"/>
              </w:rPr>
              <w:t>√</w:t>
            </w:r>
          </w:p>
        </w:tc>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1"/>
                <w:szCs w:val="21"/>
                <w:highlight w:val="none"/>
              </w:rPr>
            </w:pP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4"/>
                <w:highlight w:val="none"/>
              </w:rPr>
              <w:t>/</w:t>
            </w:r>
          </w:p>
        </w:tc>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bCs/>
                <w:color w:val="auto"/>
                <w:sz w:val="21"/>
                <w:szCs w:val="21"/>
                <w:highlight w:val="none"/>
              </w:rPr>
            </w:pP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4"/>
                <w:highlight w:val="none"/>
              </w:rPr>
              <w:t>/</w:t>
            </w:r>
          </w:p>
        </w:tc>
      </w:tr>
    </w:tbl>
    <w:p>
      <w:pPr>
        <w:numPr>
          <w:ilvl w:val="0"/>
          <w:numId w:val="3"/>
        </w:numPr>
        <w:ind w:left="1080" w:hanging="36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维保范围：</w:t>
      </w:r>
    </w:p>
    <w:p>
      <w:pPr>
        <w:numPr>
          <w:ilvl w:val="0"/>
          <w:numId w:val="0"/>
        </w:numPr>
        <w:ind w:left="7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路丝塘加油站、沙坪加油站、中青路东加油站、汤家湖加油站、七家湖加油站、南二环加油站、丽江路加油站、湘府东路加油站、光达加油站、体育新城加油站、曙光路加油站、四方城加油站、马栏山加油站、易家塘加油站、栖才路加油城、马栏山北区能源站及其它项目（经营场所）。</w:t>
      </w:r>
    </w:p>
    <w:p>
      <w:pPr>
        <w:numPr>
          <w:ilvl w:val="0"/>
          <w:numId w:val="2"/>
        </w:num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维保内容（本合同服务包含的项目在下方□内打“√”，不包含的项目在下方□内打“×”）：</w:t>
      </w:r>
    </w:p>
    <w:p>
      <w:pPr>
        <w:spacing w:line="360" w:lineRule="auto"/>
        <w:ind w:firstLine="422" w:firstLineChars="200"/>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highlight w:val="none"/>
        </w:rPr>
        <w:sym w:font="Wingdings 2" w:char="0052"/>
      </w:r>
      <w:r>
        <w:rPr>
          <w:rFonts w:hint="eastAsia" w:ascii="仿宋_GB2312" w:hAnsi="仿宋_GB2312" w:eastAsia="仿宋_GB2312" w:cs="仿宋_GB2312"/>
          <w:b/>
          <w:bCs/>
          <w:color w:val="auto"/>
          <w:sz w:val="24"/>
          <w:highlight w:val="none"/>
        </w:rPr>
        <w:t>火灾自动报警系统:</w:t>
      </w:r>
      <w:r>
        <w:rPr>
          <w:rFonts w:hint="eastAsia" w:ascii="仿宋_GB2312" w:hAnsi="仿宋_GB2312" w:eastAsia="仿宋_GB2312" w:cs="仿宋_GB2312"/>
          <w:color w:val="auto"/>
          <w:sz w:val="21"/>
          <w:szCs w:val="21"/>
          <w:highlight w:val="none"/>
          <w:u w:val="single"/>
        </w:rPr>
        <w:t>集中报警主机、联动控制主机、CRT显示系统、楼层显示器、远程自动启动卷帘门、电源及风机切换、消防广播切换、烟/温感探测器及其它各类探测器、手动及消防按钮、联动水泵、联动接口及启动模块；</w:t>
      </w:r>
    </w:p>
    <w:p>
      <w:pPr>
        <w:pStyle w:val="22"/>
        <w:widowControl/>
        <w:spacing w:beforeAutospacing="0" w:afterAutospacing="0" w:line="360" w:lineRule="auto"/>
        <w:ind w:left="-300" w:right="-283" w:firstLine="843" w:firstLineChars="350"/>
        <w:rPr>
          <w:rFonts w:ascii="仿宋_GB2312" w:hAnsi="仿宋_GB2312" w:eastAsia="仿宋_GB2312" w:cs="仿宋_GB2312"/>
          <w:color w:val="auto"/>
          <w:sz w:val="21"/>
          <w:szCs w:val="21"/>
          <w:highlight w:val="none"/>
          <w:u w:val="single"/>
        </w:rPr>
      </w:pPr>
      <w:r>
        <w:rPr>
          <w:rFonts w:hint="eastAsia" w:ascii="仿宋_GB2312" w:hAnsi="仿宋_GB2312" w:eastAsia="仿宋_GB2312" w:cs="仿宋_GB2312"/>
          <w:b/>
          <w:bCs/>
          <w:color w:val="auto"/>
          <w:kern w:val="2"/>
          <w:highlight w:val="none"/>
        </w:rPr>
        <w:sym w:font="Wingdings 2" w:char="0052"/>
      </w:r>
      <w:r>
        <w:rPr>
          <w:rFonts w:hint="eastAsia" w:ascii="仿宋_GB2312" w:hAnsi="仿宋_GB2312" w:eastAsia="仿宋_GB2312" w:cs="仿宋_GB2312"/>
          <w:b/>
          <w:bCs/>
          <w:color w:val="auto"/>
          <w:kern w:val="2"/>
          <w:highlight w:val="none"/>
        </w:rPr>
        <w:t>可燃气体报警系统：</w:t>
      </w:r>
      <w:r>
        <w:rPr>
          <w:rFonts w:hint="eastAsia" w:ascii="仿宋_GB2312" w:hAnsi="仿宋_GB2312" w:eastAsia="仿宋_GB2312" w:cs="仿宋_GB2312"/>
          <w:color w:val="auto"/>
          <w:sz w:val="21"/>
          <w:szCs w:val="21"/>
          <w:highlight w:val="none"/>
          <w:u w:val="single"/>
        </w:rPr>
        <w:t>电气火灾监控器、电气火灾监控探测器、火灾声光警报器等；</w:t>
      </w:r>
    </w:p>
    <w:p>
      <w:pPr>
        <w:pStyle w:val="22"/>
        <w:widowControl/>
        <w:spacing w:beforeAutospacing="0" w:afterAutospacing="0" w:line="360" w:lineRule="auto"/>
        <w:ind w:left="-300" w:right="-283" w:firstLine="843" w:firstLineChars="350"/>
        <w:rPr>
          <w:rFonts w:ascii="仿宋_GB2312" w:hAnsi="仿宋_GB2312" w:eastAsia="仿宋_GB2312" w:cs="仿宋_GB2312"/>
          <w:color w:val="auto"/>
          <w:kern w:val="2"/>
          <w:highlight w:val="none"/>
        </w:rPr>
      </w:pPr>
      <w:r>
        <w:rPr>
          <w:rFonts w:hint="eastAsia" w:ascii="仿宋_GB2312" w:hAnsi="仿宋_GB2312" w:eastAsia="仿宋_GB2312" w:cs="仿宋_GB2312"/>
          <w:b/>
          <w:bCs/>
          <w:color w:val="auto"/>
          <w:kern w:val="2"/>
          <w:highlight w:val="none"/>
        </w:rPr>
        <w:sym w:font="Wingdings 2" w:char="0052"/>
      </w:r>
      <w:r>
        <w:rPr>
          <w:rFonts w:hint="eastAsia" w:ascii="仿宋_GB2312" w:hAnsi="仿宋_GB2312" w:eastAsia="仿宋_GB2312" w:cs="仿宋_GB2312"/>
          <w:b/>
          <w:bCs/>
          <w:color w:val="auto"/>
          <w:kern w:val="2"/>
          <w:highlight w:val="none"/>
        </w:rPr>
        <w:t>火灾应急广播</w:t>
      </w:r>
      <w:r>
        <w:rPr>
          <w:rFonts w:hint="eastAsia" w:ascii="仿宋_GB2312" w:hAnsi="仿宋_GB2312" w:eastAsia="仿宋_GB2312" w:cs="仿宋_GB2312"/>
          <w:color w:val="auto"/>
          <w:kern w:val="2"/>
          <w:highlight w:val="none"/>
        </w:rPr>
        <w:t>：</w:t>
      </w:r>
      <w:r>
        <w:rPr>
          <w:rFonts w:hint="eastAsia" w:ascii="仿宋_GB2312" w:hAnsi="仿宋_GB2312" w:eastAsia="仿宋_GB2312" w:cs="仿宋_GB2312"/>
          <w:color w:val="auto"/>
          <w:sz w:val="21"/>
          <w:szCs w:val="21"/>
          <w:highlight w:val="none"/>
          <w:u w:val="single"/>
        </w:rPr>
        <w:t>消防事故广播主机、功放、联动接口及启动模块；</w:t>
      </w:r>
    </w:p>
    <w:p>
      <w:pPr>
        <w:pStyle w:val="22"/>
        <w:widowControl/>
        <w:spacing w:beforeAutospacing="0" w:afterAutospacing="0" w:line="360" w:lineRule="auto"/>
        <w:ind w:left="-300" w:right="-283" w:firstLine="843" w:firstLineChars="350"/>
        <w:rPr>
          <w:rFonts w:ascii="仿宋_GB2312" w:hAnsi="仿宋_GB2312" w:eastAsia="仿宋_GB2312" w:cs="仿宋_GB2312"/>
          <w:color w:val="auto"/>
          <w:kern w:val="2"/>
          <w:highlight w:val="none"/>
        </w:rPr>
      </w:pPr>
      <w:r>
        <w:rPr>
          <w:rFonts w:hint="eastAsia" w:ascii="仿宋_GB2312" w:hAnsi="仿宋_GB2312" w:eastAsia="仿宋_GB2312" w:cs="仿宋_GB2312"/>
          <w:b/>
          <w:bCs/>
          <w:color w:val="auto"/>
          <w:kern w:val="2"/>
          <w:highlight w:val="none"/>
        </w:rPr>
        <w:sym w:font="Wingdings 2" w:char="0052"/>
      </w:r>
      <w:r>
        <w:rPr>
          <w:rFonts w:hint="eastAsia" w:ascii="仿宋_GB2312" w:hAnsi="仿宋_GB2312" w:eastAsia="仿宋_GB2312" w:cs="仿宋_GB2312"/>
          <w:b/>
          <w:bCs/>
          <w:color w:val="auto"/>
          <w:kern w:val="2"/>
          <w:highlight w:val="none"/>
        </w:rPr>
        <w:t>消防专用电话：</w:t>
      </w:r>
      <w:r>
        <w:rPr>
          <w:rFonts w:hint="eastAsia" w:ascii="仿宋_GB2312" w:hAnsi="仿宋_GB2312" w:eastAsia="仿宋_GB2312" w:cs="仿宋_GB2312"/>
          <w:color w:val="auto"/>
          <w:sz w:val="21"/>
          <w:szCs w:val="21"/>
          <w:highlight w:val="none"/>
          <w:u w:val="single"/>
        </w:rPr>
        <w:t xml:space="preserve">消防对讲电话主机、插口； </w:t>
      </w:r>
    </w:p>
    <w:p>
      <w:pPr>
        <w:pStyle w:val="22"/>
        <w:widowControl/>
        <w:spacing w:beforeAutospacing="0" w:afterAutospacing="0" w:line="360" w:lineRule="auto"/>
        <w:ind w:left="-300" w:right="-283" w:firstLine="843" w:firstLineChars="350"/>
        <w:rPr>
          <w:rFonts w:ascii="仿宋_GB2312" w:hAnsi="仿宋_GB2312" w:eastAsia="仿宋_GB2312" w:cs="仿宋_GB2312"/>
          <w:color w:val="auto"/>
          <w:sz w:val="21"/>
          <w:szCs w:val="21"/>
          <w:highlight w:val="none"/>
          <w:u w:val="single"/>
        </w:rPr>
      </w:pPr>
      <w:r>
        <w:rPr>
          <w:rFonts w:hint="eastAsia" w:ascii="仿宋_GB2312" w:hAnsi="仿宋_GB2312" w:eastAsia="仿宋_GB2312" w:cs="仿宋_GB2312"/>
          <w:b/>
          <w:bCs/>
          <w:color w:val="auto"/>
          <w:kern w:val="2"/>
          <w:highlight w:val="none"/>
        </w:rPr>
        <w:sym w:font="Wingdings 2" w:char="0052"/>
      </w:r>
      <w:r>
        <w:rPr>
          <w:rFonts w:hint="eastAsia" w:ascii="仿宋_GB2312" w:hAnsi="仿宋_GB2312" w:eastAsia="仿宋_GB2312" w:cs="仿宋_GB2312"/>
          <w:b/>
          <w:bCs/>
          <w:color w:val="auto"/>
          <w:kern w:val="2"/>
          <w:highlight w:val="none"/>
        </w:rPr>
        <w:t>消防电源及配电</w:t>
      </w:r>
      <w:r>
        <w:rPr>
          <w:rFonts w:hint="eastAsia" w:ascii="仿宋_GB2312" w:hAnsi="仿宋_GB2312" w:eastAsia="仿宋_GB2312" w:cs="仿宋_GB2312"/>
          <w:color w:val="auto"/>
          <w:kern w:val="2"/>
          <w:highlight w:val="none"/>
        </w:rPr>
        <w:t>：</w:t>
      </w:r>
      <w:r>
        <w:rPr>
          <w:rFonts w:hint="eastAsia" w:ascii="仿宋_GB2312" w:hAnsi="仿宋_GB2312" w:eastAsia="仿宋_GB2312" w:cs="仿宋_GB2312"/>
          <w:color w:val="auto"/>
          <w:sz w:val="21"/>
          <w:szCs w:val="21"/>
          <w:highlight w:val="none"/>
          <w:u w:val="single"/>
        </w:rPr>
        <w:t>消防配电柜（箱）、应急电源、防雷接地、保护装置、消防电源、自备发电机、集中电源；</w:t>
      </w:r>
    </w:p>
    <w:p>
      <w:pPr>
        <w:pStyle w:val="22"/>
        <w:widowControl/>
        <w:spacing w:beforeAutospacing="0" w:afterAutospacing="0" w:line="360" w:lineRule="auto"/>
        <w:ind w:left="-300" w:right="-283" w:firstLine="843" w:firstLineChars="350"/>
        <w:rPr>
          <w:rFonts w:ascii="仿宋_GB2312" w:hAnsi="仿宋_GB2312" w:eastAsia="仿宋_GB2312" w:cs="仿宋_GB2312"/>
          <w:color w:val="auto"/>
          <w:kern w:val="2"/>
          <w:highlight w:val="none"/>
        </w:rPr>
      </w:pPr>
      <w:r>
        <w:rPr>
          <w:rFonts w:hint="eastAsia" w:ascii="仿宋_GB2312" w:hAnsi="仿宋_GB2312" w:eastAsia="仿宋_GB2312" w:cs="仿宋_GB2312"/>
          <w:b/>
          <w:bCs/>
          <w:color w:val="auto"/>
          <w:kern w:val="2"/>
          <w:highlight w:val="none"/>
        </w:rPr>
        <w:sym w:font="Wingdings 2" w:char="0052"/>
      </w:r>
      <w:r>
        <w:rPr>
          <w:rFonts w:hint="eastAsia" w:ascii="仿宋_GB2312" w:hAnsi="仿宋_GB2312" w:eastAsia="仿宋_GB2312" w:cs="仿宋_GB2312"/>
          <w:b/>
          <w:bCs/>
          <w:color w:val="auto"/>
          <w:kern w:val="2"/>
          <w:highlight w:val="none"/>
        </w:rPr>
        <w:t>火灾应急照明、疏散标志指示</w:t>
      </w:r>
      <w:r>
        <w:rPr>
          <w:rFonts w:hint="eastAsia" w:ascii="仿宋_GB2312" w:hAnsi="仿宋_GB2312" w:eastAsia="仿宋_GB2312" w:cs="仿宋_GB2312"/>
          <w:color w:val="auto"/>
          <w:kern w:val="2"/>
          <w:highlight w:val="none"/>
        </w:rPr>
        <w:t>：</w:t>
      </w:r>
      <w:r>
        <w:rPr>
          <w:rFonts w:hint="eastAsia" w:ascii="仿宋_GB2312" w:hAnsi="仿宋_GB2312" w:eastAsia="仿宋_GB2312" w:cs="仿宋_GB2312"/>
          <w:color w:val="auto"/>
          <w:sz w:val="21"/>
          <w:szCs w:val="21"/>
          <w:highlight w:val="none"/>
          <w:u w:val="single"/>
        </w:rPr>
        <w:t>应急电源、疏散照明灯具、自动切换柜；</w:t>
      </w:r>
    </w:p>
    <w:p>
      <w:pPr>
        <w:pStyle w:val="22"/>
        <w:widowControl/>
        <w:spacing w:beforeAutospacing="0" w:afterAutospacing="0" w:line="360" w:lineRule="auto"/>
        <w:ind w:left="-300" w:right="-283" w:firstLine="843" w:firstLineChars="350"/>
        <w:rPr>
          <w:rFonts w:ascii="仿宋_GB2312" w:hAnsi="仿宋_GB2312" w:eastAsia="仿宋_GB2312" w:cs="仿宋_GB2312"/>
          <w:color w:val="auto"/>
          <w:sz w:val="21"/>
          <w:szCs w:val="21"/>
          <w:highlight w:val="none"/>
          <w:u w:val="single"/>
        </w:rPr>
      </w:pPr>
      <w:r>
        <w:rPr>
          <w:rFonts w:hint="eastAsia" w:ascii="仿宋_GB2312" w:hAnsi="仿宋_GB2312" w:eastAsia="仿宋_GB2312" w:cs="仿宋_GB2312"/>
          <w:b/>
          <w:bCs/>
          <w:color w:val="auto"/>
          <w:kern w:val="2"/>
          <w:highlight w:val="none"/>
        </w:rPr>
        <w:sym w:font="Wingdings 2" w:char="0052"/>
      </w:r>
      <w:r>
        <w:rPr>
          <w:rFonts w:hint="eastAsia" w:ascii="仿宋_GB2312" w:hAnsi="仿宋_GB2312" w:eastAsia="仿宋_GB2312" w:cs="仿宋_GB2312"/>
          <w:b/>
          <w:bCs/>
          <w:color w:val="auto"/>
          <w:kern w:val="2"/>
          <w:highlight w:val="none"/>
        </w:rPr>
        <w:t>消防给水、室内外消火栓系统</w:t>
      </w:r>
      <w:r>
        <w:rPr>
          <w:rFonts w:hint="eastAsia" w:ascii="仿宋_GB2312" w:hAnsi="仿宋_GB2312" w:eastAsia="仿宋_GB2312" w:cs="仿宋_GB2312"/>
          <w:color w:val="auto"/>
          <w:kern w:val="2"/>
          <w:highlight w:val="none"/>
        </w:rPr>
        <w:t>：</w:t>
      </w:r>
      <w:r>
        <w:rPr>
          <w:rFonts w:hint="eastAsia" w:ascii="仿宋_GB2312" w:hAnsi="仿宋_GB2312" w:eastAsia="仿宋_GB2312" w:cs="仿宋_GB2312"/>
          <w:color w:val="auto"/>
          <w:sz w:val="21"/>
          <w:szCs w:val="21"/>
          <w:highlight w:val="none"/>
          <w:u w:val="single"/>
        </w:rPr>
        <w:t>消防水池、消火栓按钮、水泵控制阀及系统所有阀门、室外控制阀门、水泵接合器、消火栓箱、管道水压及压力表、管网、室内消火栓、室外消火栓、消防水泵、水泵控制柜、消防水源、高位水箱、远程启泵控制系统、压力开关、联动接口及启动模块；管道、阀门、组件、消火栓箱、水枪、卷盘；</w:t>
      </w:r>
    </w:p>
    <w:p>
      <w:pPr>
        <w:pStyle w:val="22"/>
        <w:widowControl/>
        <w:spacing w:beforeAutospacing="0" w:afterAutospacing="0" w:line="360" w:lineRule="auto"/>
        <w:ind w:left="-300" w:right="-283" w:firstLine="843" w:firstLineChars="350"/>
        <w:rPr>
          <w:rFonts w:ascii="仿宋_GB2312" w:hAnsi="仿宋_GB2312" w:eastAsia="仿宋_GB2312" w:cs="仿宋_GB2312"/>
          <w:color w:val="auto"/>
          <w:kern w:val="2"/>
          <w:highlight w:val="none"/>
        </w:rPr>
      </w:pPr>
      <w:r>
        <w:rPr>
          <w:rFonts w:hint="eastAsia" w:ascii="仿宋_GB2312" w:hAnsi="仿宋_GB2312" w:eastAsia="仿宋_GB2312" w:cs="仿宋_GB2312"/>
          <w:b/>
          <w:bCs/>
          <w:color w:val="auto"/>
          <w:kern w:val="2"/>
          <w:highlight w:val="none"/>
        </w:rPr>
        <w:sym w:font="Wingdings 2" w:char="0052"/>
      </w:r>
      <w:r>
        <w:rPr>
          <w:rFonts w:hint="eastAsia" w:ascii="仿宋_GB2312" w:hAnsi="仿宋_GB2312" w:eastAsia="仿宋_GB2312" w:cs="仿宋_GB2312"/>
          <w:b/>
          <w:bCs/>
          <w:color w:val="auto"/>
          <w:kern w:val="2"/>
          <w:highlight w:val="none"/>
        </w:rPr>
        <w:t>自动喷水灭火系统</w:t>
      </w:r>
      <w:r>
        <w:rPr>
          <w:rFonts w:hint="eastAsia" w:ascii="仿宋_GB2312" w:hAnsi="仿宋_GB2312" w:eastAsia="仿宋_GB2312" w:cs="仿宋_GB2312"/>
          <w:color w:val="auto"/>
          <w:kern w:val="2"/>
          <w:highlight w:val="none"/>
        </w:rPr>
        <w:t>：</w:t>
      </w:r>
      <w:r>
        <w:rPr>
          <w:rFonts w:hint="eastAsia" w:ascii="仿宋_GB2312" w:hAnsi="仿宋_GB2312" w:eastAsia="仿宋_GB2312" w:cs="仿宋_GB2312"/>
          <w:color w:val="auto"/>
          <w:sz w:val="21"/>
          <w:szCs w:val="21"/>
          <w:highlight w:val="none"/>
          <w:u w:val="single"/>
        </w:rPr>
        <w:t>喷淋水泵、水泵控制柜、远程启泵控制系统、水泵接合器、压力开关、湿式报警阀、水流指示器、联动接口及启动模块、管道、阀门、组件、喷头；</w:t>
      </w:r>
    </w:p>
    <w:p>
      <w:pPr>
        <w:pStyle w:val="22"/>
        <w:widowControl/>
        <w:spacing w:beforeAutospacing="0" w:afterAutospacing="0" w:line="360" w:lineRule="auto"/>
        <w:ind w:left="-300" w:right="-283" w:firstLine="843" w:firstLineChars="350"/>
        <w:rPr>
          <w:rFonts w:ascii="仿宋_GB2312" w:hAnsi="仿宋_GB2312" w:eastAsia="仿宋_GB2312" w:cs="仿宋_GB2312"/>
          <w:color w:val="auto"/>
          <w:sz w:val="21"/>
          <w:szCs w:val="21"/>
          <w:highlight w:val="none"/>
          <w:u w:val="single"/>
        </w:rPr>
      </w:pPr>
      <w:r>
        <w:rPr>
          <w:rFonts w:hint="eastAsia" w:ascii="仿宋_GB2312" w:hAnsi="仿宋_GB2312" w:eastAsia="仿宋_GB2312" w:cs="仿宋_GB2312"/>
          <w:b/>
          <w:bCs/>
          <w:color w:val="auto"/>
          <w:kern w:val="2"/>
          <w:highlight w:val="none"/>
        </w:rPr>
        <w:sym w:font="Wingdings 2" w:char="0052"/>
      </w:r>
      <w:r>
        <w:rPr>
          <w:rFonts w:hint="eastAsia" w:ascii="仿宋_GB2312" w:hAnsi="仿宋_GB2312" w:eastAsia="仿宋_GB2312" w:cs="仿宋_GB2312"/>
          <w:b/>
          <w:bCs/>
          <w:color w:val="auto"/>
          <w:kern w:val="2"/>
          <w:highlight w:val="none"/>
        </w:rPr>
        <w:t>气体灭火系统</w:t>
      </w:r>
      <w:r>
        <w:rPr>
          <w:rFonts w:hint="eastAsia" w:ascii="仿宋_GB2312" w:hAnsi="仿宋_GB2312" w:eastAsia="仿宋_GB2312" w:cs="仿宋_GB2312"/>
          <w:color w:val="auto"/>
          <w:kern w:val="2"/>
          <w:highlight w:val="none"/>
        </w:rPr>
        <w:t>：</w:t>
      </w:r>
      <w:r>
        <w:rPr>
          <w:rFonts w:hint="eastAsia" w:ascii="仿宋_GB2312" w:hAnsi="仿宋_GB2312" w:eastAsia="仿宋_GB2312" w:cs="仿宋_GB2312"/>
          <w:color w:val="auto"/>
          <w:sz w:val="21"/>
          <w:szCs w:val="21"/>
          <w:highlight w:val="none"/>
          <w:u w:val="single"/>
        </w:rPr>
        <w:t>气体灭火控制器、储存装置、驱动气瓶、电磁阀、管网和喷嘴、选择阀、防护区设施；</w:t>
      </w:r>
    </w:p>
    <w:p>
      <w:pPr>
        <w:pStyle w:val="22"/>
        <w:widowControl/>
        <w:spacing w:beforeAutospacing="0" w:afterAutospacing="0" w:line="360" w:lineRule="auto"/>
        <w:ind w:left="-300" w:right="-283" w:firstLine="843" w:firstLineChars="350"/>
        <w:rPr>
          <w:rFonts w:ascii="仿宋_GB2312" w:hAnsi="仿宋_GB2312" w:eastAsia="仿宋_GB2312" w:cs="仿宋_GB2312"/>
          <w:color w:val="auto"/>
          <w:kern w:val="2"/>
          <w:highlight w:val="none"/>
        </w:rPr>
      </w:pPr>
      <w:r>
        <w:rPr>
          <w:rFonts w:hint="eastAsia" w:ascii="仿宋_GB2312" w:hAnsi="仿宋_GB2312" w:eastAsia="仿宋_GB2312" w:cs="仿宋_GB2312"/>
          <w:b/>
          <w:bCs/>
          <w:color w:val="auto"/>
          <w:kern w:val="2"/>
          <w:highlight w:val="none"/>
        </w:rPr>
        <w:sym w:font="Wingdings 2" w:char="00A3"/>
      </w:r>
      <w:r>
        <w:rPr>
          <w:rFonts w:hint="eastAsia" w:ascii="仿宋_GB2312" w:hAnsi="仿宋_GB2312" w:eastAsia="仿宋_GB2312" w:cs="仿宋_GB2312"/>
          <w:b/>
          <w:bCs/>
          <w:color w:val="auto"/>
          <w:kern w:val="2"/>
          <w:highlight w:val="none"/>
        </w:rPr>
        <w:t>泡沫、消防炮灭火系统</w:t>
      </w:r>
      <w:r>
        <w:rPr>
          <w:rFonts w:hint="eastAsia" w:ascii="仿宋_GB2312" w:hAnsi="仿宋_GB2312" w:eastAsia="仿宋_GB2312" w:cs="仿宋_GB2312"/>
          <w:color w:val="auto"/>
          <w:kern w:val="2"/>
          <w:highlight w:val="none"/>
        </w:rPr>
        <w:t>：</w:t>
      </w:r>
      <w:r>
        <w:rPr>
          <w:rFonts w:hint="eastAsia" w:ascii="仿宋_GB2312" w:hAnsi="仿宋_GB2312" w:eastAsia="仿宋_GB2312" w:cs="仿宋_GB2312"/>
          <w:color w:val="auto"/>
          <w:sz w:val="21"/>
          <w:szCs w:val="21"/>
          <w:highlight w:val="none"/>
          <w:u w:val="single"/>
        </w:rPr>
        <w:t>电磁阀、压力表、管道、阀门、组件、泡沫发生器、比例混合器、喷头、泡沫枪；</w:t>
      </w:r>
      <w:r>
        <w:rPr>
          <w:rFonts w:hint="eastAsia" w:ascii="仿宋_GB2312" w:hAnsi="仿宋_GB2312" w:eastAsia="仿宋_GB2312" w:cs="仿宋_GB2312"/>
          <w:color w:val="auto"/>
          <w:kern w:val="2"/>
          <w:highlight w:val="none"/>
        </w:rPr>
        <w:t> </w:t>
      </w:r>
    </w:p>
    <w:p>
      <w:pPr>
        <w:pStyle w:val="22"/>
        <w:widowControl/>
        <w:spacing w:beforeAutospacing="0" w:afterAutospacing="0" w:line="360" w:lineRule="auto"/>
        <w:ind w:left="-302" w:right="-283" w:firstLine="843" w:firstLineChars="350"/>
        <w:rPr>
          <w:rFonts w:ascii="仿宋_GB2312" w:hAnsi="仿宋_GB2312" w:eastAsia="仿宋_GB2312" w:cs="仿宋_GB2312"/>
          <w:color w:val="auto"/>
          <w:kern w:val="2"/>
          <w:highlight w:val="none"/>
        </w:rPr>
      </w:pPr>
      <w:r>
        <w:rPr>
          <w:rFonts w:hint="eastAsia" w:ascii="仿宋_GB2312" w:hAnsi="仿宋_GB2312" w:eastAsia="仿宋_GB2312" w:cs="仿宋_GB2312"/>
          <w:b/>
          <w:bCs/>
          <w:color w:val="auto"/>
          <w:kern w:val="2"/>
          <w:highlight w:val="none"/>
        </w:rPr>
        <w:sym w:font="Wingdings 2" w:char="0052"/>
      </w:r>
      <w:r>
        <w:rPr>
          <w:rFonts w:hint="eastAsia" w:ascii="仿宋_GB2312" w:hAnsi="仿宋_GB2312" w:eastAsia="仿宋_GB2312" w:cs="仿宋_GB2312"/>
          <w:b/>
          <w:color w:val="auto"/>
          <w:highlight w:val="none"/>
        </w:rPr>
        <w:t>防火分隔系统：</w:t>
      </w:r>
      <w:r>
        <w:rPr>
          <w:rFonts w:hint="eastAsia" w:ascii="仿宋_GB2312" w:hAnsi="仿宋_GB2312" w:eastAsia="仿宋_GB2312" w:cs="仿宋_GB2312"/>
          <w:color w:val="auto"/>
          <w:sz w:val="21"/>
          <w:szCs w:val="21"/>
          <w:highlight w:val="none"/>
          <w:u w:val="single"/>
        </w:rPr>
        <w:t>防火门闭门器、顺位器、防火门监控器、防火门、防火窗、防火卷帘控制器、防火卷帘；</w:t>
      </w:r>
    </w:p>
    <w:p>
      <w:pPr>
        <w:pStyle w:val="22"/>
        <w:widowControl/>
        <w:spacing w:beforeAutospacing="0" w:afterAutospacing="0" w:line="360" w:lineRule="auto"/>
        <w:ind w:left="-302" w:right="-283" w:firstLine="843" w:firstLineChars="350"/>
        <w:rPr>
          <w:rFonts w:ascii="仿宋_GB2312" w:hAnsi="仿宋_GB2312" w:eastAsia="仿宋_GB2312" w:cs="仿宋_GB2312"/>
          <w:color w:val="auto"/>
          <w:kern w:val="2"/>
          <w:highlight w:val="none"/>
        </w:rPr>
      </w:pPr>
      <w:r>
        <w:rPr>
          <w:rFonts w:hint="eastAsia" w:ascii="仿宋_GB2312" w:hAnsi="仿宋_GB2312" w:eastAsia="仿宋_GB2312" w:cs="仿宋_GB2312"/>
          <w:b/>
          <w:bCs/>
          <w:color w:val="auto"/>
          <w:kern w:val="2"/>
          <w:highlight w:val="none"/>
        </w:rPr>
        <w:sym w:font="Wingdings 2" w:char="0052"/>
      </w:r>
      <w:r>
        <w:rPr>
          <w:rFonts w:hint="eastAsia" w:ascii="仿宋_GB2312" w:hAnsi="仿宋_GB2312" w:eastAsia="仿宋_GB2312" w:cs="仿宋_GB2312"/>
          <w:b/>
          <w:bCs/>
          <w:color w:val="auto"/>
          <w:kern w:val="2"/>
          <w:highlight w:val="none"/>
        </w:rPr>
        <w:t>防排烟系统</w:t>
      </w:r>
      <w:r>
        <w:rPr>
          <w:rFonts w:hint="eastAsia" w:ascii="仿宋_GB2312" w:hAnsi="仿宋_GB2312" w:eastAsia="仿宋_GB2312" w:cs="仿宋_GB2312"/>
          <w:color w:val="auto"/>
          <w:kern w:val="2"/>
          <w:highlight w:val="none"/>
        </w:rPr>
        <w:t>：</w:t>
      </w:r>
      <w:r>
        <w:rPr>
          <w:rFonts w:hint="eastAsia" w:ascii="仿宋_GB2312" w:hAnsi="仿宋_GB2312" w:eastAsia="仿宋_GB2312" w:cs="仿宋_GB2312"/>
          <w:color w:val="auto"/>
          <w:sz w:val="21"/>
          <w:szCs w:val="21"/>
          <w:highlight w:val="none"/>
          <w:u w:val="single"/>
        </w:rPr>
        <w:t>加压送风机、排烟风机、加压风管风阀、排烟风管风阀及排烟口、线路、模块；</w:t>
      </w:r>
    </w:p>
    <w:p>
      <w:pPr>
        <w:pStyle w:val="22"/>
        <w:widowControl/>
        <w:spacing w:beforeAutospacing="0" w:afterAutospacing="0" w:line="360" w:lineRule="auto"/>
        <w:ind w:left="-302" w:right="-283" w:firstLine="843" w:firstLineChars="350"/>
        <w:rPr>
          <w:rFonts w:ascii="仿宋_GB2312" w:hAnsi="仿宋_GB2312" w:eastAsia="仿宋_GB2312" w:cs="仿宋_GB2312"/>
          <w:color w:val="auto"/>
          <w:sz w:val="21"/>
          <w:szCs w:val="21"/>
          <w:highlight w:val="none"/>
          <w:u w:val="single"/>
        </w:rPr>
      </w:pPr>
      <w:r>
        <w:rPr>
          <w:rFonts w:hint="eastAsia" w:ascii="仿宋_GB2312" w:hAnsi="仿宋_GB2312" w:eastAsia="仿宋_GB2312" w:cs="仿宋_GB2312"/>
          <w:b/>
          <w:bCs/>
          <w:color w:val="auto"/>
          <w:kern w:val="2"/>
          <w:highlight w:val="none"/>
        </w:rPr>
        <w:sym w:font="Wingdings 2" w:char="0052"/>
      </w:r>
      <w:r>
        <w:rPr>
          <w:rFonts w:hint="eastAsia" w:ascii="仿宋_GB2312" w:hAnsi="仿宋_GB2312" w:eastAsia="仿宋_GB2312" w:cs="仿宋_GB2312"/>
          <w:b/>
          <w:bCs/>
          <w:color w:val="auto"/>
          <w:kern w:val="2"/>
          <w:highlight w:val="none"/>
        </w:rPr>
        <w:t>灭火器：</w:t>
      </w:r>
      <w:r>
        <w:rPr>
          <w:rFonts w:hint="eastAsia" w:ascii="仿宋_GB2312" w:hAnsi="仿宋_GB2312" w:eastAsia="仿宋_GB2312" w:cs="仿宋_GB2312"/>
          <w:color w:val="auto"/>
          <w:sz w:val="21"/>
          <w:szCs w:val="21"/>
          <w:highlight w:val="none"/>
          <w:u w:val="single"/>
        </w:rPr>
        <w:t>筒体、压力表、喷嘴、软管组件等。</w:t>
      </w:r>
    </w:p>
    <w:p>
      <w:pPr>
        <w:pStyle w:val="22"/>
        <w:widowControl/>
        <w:spacing w:beforeAutospacing="0" w:afterAutospacing="0" w:line="360" w:lineRule="auto"/>
        <w:ind w:left="-302" w:right="-283" w:firstLine="843" w:firstLineChars="350"/>
        <w:rPr>
          <w:rFonts w:ascii="仿宋_GB2312" w:hAnsi="仿宋_GB2312" w:eastAsia="仿宋_GB2312" w:cs="仿宋_GB2312"/>
          <w:color w:val="auto"/>
          <w:sz w:val="21"/>
          <w:szCs w:val="21"/>
          <w:highlight w:val="none"/>
          <w:u w:val="single"/>
        </w:rPr>
      </w:pPr>
      <w:r>
        <w:rPr>
          <w:rFonts w:hint="eastAsia" w:ascii="仿宋_GB2312" w:hAnsi="仿宋_GB2312" w:eastAsia="仿宋_GB2312" w:cs="仿宋_GB2312"/>
          <w:b/>
          <w:bCs/>
          <w:color w:val="auto"/>
          <w:kern w:val="2"/>
          <w:highlight w:val="none"/>
        </w:rPr>
        <w:sym w:font="Wingdings 2" w:char="0052"/>
      </w:r>
      <w:r>
        <w:rPr>
          <w:rFonts w:hint="eastAsia" w:ascii="仿宋_GB2312" w:hAnsi="仿宋_GB2312" w:eastAsia="仿宋_GB2312" w:cs="仿宋_GB2312"/>
          <w:b/>
          <w:bCs/>
          <w:color w:val="auto"/>
          <w:kern w:val="2"/>
          <w:highlight w:val="none"/>
        </w:rPr>
        <w:t>微型消防站：</w:t>
      </w:r>
      <w:r>
        <w:rPr>
          <w:rFonts w:hint="eastAsia" w:ascii="仿宋_GB2312" w:hAnsi="仿宋_GB2312" w:eastAsia="仿宋_GB2312" w:cs="仿宋_GB2312"/>
          <w:color w:val="auto"/>
          <w:sz w:val="21"/>
          <w:szCs w:val="21"/>
          <w:highlight w:val="none"/>
          <w:u w:val="single"/>
        </w:rPr>
        <w:t>各经营场所现有微型消防站维保（消防服、消防靴、相仿头盔、消防斧等）。</w:t>
      </w:r>
    </w:p>
    <w:p>
      <w:pPr>
        <w:pStyle w:val="22"/>
        <w:widowControl/>
        <w:spacing w:beforeAutospacing="0" w:afterAutospacing="0" w:line="360" w:lineRule="auto"/>
        <w:ind w:left="-302" w:right="-283" w:firstLine="843" w:firstLineChars="350"/>
        <w:rPr>
          <w:rFonts w:hint="default" w:ascii="仿宋_GB2312" w:hAnsi="仿宋_GB2312" w:eastAsia="仿宋_GB2312" w:cs="仿宋_GB2312"/>
          <w:color w:val="auto"/>
          <w:sz w:val="21"/>
          <w:szCs w:val="21"/>
          <w:highlight w:val="none"/>
          <w:u w:val="single"/>
          <w:lang w:val="en-US"/>
        </w:rPr>
      </w:pPr>
      <w:r>
        <w:rPr>
          <w:rFonts w:hint="eastAsia" w:ascii="仿宋_GB2312" w:hAnsi="仿宋_GB2312" w:eastAsia="仿宋_GB2312" w:cs="仿宋_GB2312"/>
          <w:b/>
          <w:bCs/>
          <w:color w:val="auto"/>
          <w:kern w:val="2"/>
          <w:highlight w:val="none"/>
        </w:rPr>
        <w:sym w:font="Wingdings 2" w:char="0052"/>
      </w:r>
      <w:r>
        <w:rPr>
          <w:rFonts w:hint="eastAsia" w:ascii="仿宋_GB2312" w:hAnsi="仿宋_GB2312" w:eastAsia="仿宋_GB2312" w:cs="仿宋_GB2312"/>
          <w:b/>
          <w:bCs/>
          <w:color w:val="auto"/>
          <w:kern w:val="2"/>
          <w:highlight w:val="none"/>
          <w:lang w:val="en-US" w:eastAsia="zh-CN"/>
        </w:rPr>
        <w:t>其它劳保物资采购：</w:t>
      </w:r>
      <w:r>
        <w:rPr>
          <w:rFonts w:hint="eastAsia" w:ascii="仿宋_GB2312" w:hAnsi="仿宋_GB2312" w:eastAsia="仿宋_GB2312" w:cs="仿宋_GB2312"/>
          <w:b/>
          <w:bCs/>
          <w:color w:val="auto"/>
          <w:kern w:val="2"/>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lang w:val="en-US" w:eastAsia="zh-CN"/>
        </w:rPr>
        <w:t>头盔、反光背心、防护眼镜等</w:t>
      </w:r>
    </w:p>
    <w:p>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第二条    维保期限</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日起，至</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日止，期限为</w:t>
      </w:r>
      <w:r>
        <w:rPr>
          <w:rFonts w:hint="eastAsia" w:ascii="仿宋_GB2312" w:hAnsi="仿宋_GB2312" w:eastAsia="仿宋_GB2312" w:cs="仿宋_GB2312"/>
          <w:color w:val="auto"/>
          <w:sz w:val="24"/>
          <w:highlight w:val="none"/>
          <w:u w:val="single"/>
        </w:rPr>
        <w:t xml:space="preserve"> 壹 </w:t>
      </w:r>
      <w:r>
        <w:rPr>
          <w:rFonts w:hint="eastAsia" w:ascii="仿宋_GB2312" w:hAnsi="仿宋_GB2312" w:eastAsia="仿宋_GB2312" w:cs="仿宋_GB2312"/>
          <w:color w:val="auto"/>
          <w:sz w:val="24"/>
          <w:highlight w:val="none"/>
        </w:rPr>
        <w:t>年。</w:t>
      </w:r>
    </w:p>
    <w:p>
      <w:pPr>
        <w:numPr>
          <w:ilvl w:val="0"/>
          <w:numId w:val="4"/>
        </w:num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 xml:space="preserve">   服务内容</w:t>
      </w:r>
    </w:p>
    <w:p>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w:t>
      </w:r>
      <w:r>
        <w:rPr>
          <w:rFonts w:hint="eastAsia" w:ascii="仿宋_GB2312" w:hAnsi="仿宋_GB2312" w:eastAsia="仿宋_GB2312" w:cs="仿宋_GB2312"/>
          <w:bCs/>
          <w:color w:val="auto"/>
          <w:sz w:val="24"/>
          <w:highlight w:val="none"/>
          <w:lang w:val="en-US" w:eastAsia="zh-CN"/>
        </w:rPr>
        <w:t>乙方</w:t>
      </w:r>
      <w:r>
        <w:rPr>
          <w:rFonts w:hint="eastAsia" w:ascii="仿宋_GB2312" w:hAnsi="仿宋_GB2312" w:eastAsia="仿宋_GB2312" w:cs="仿宋_GB2312"/>
          <w:bCs/>
          <w:color w:val="auto"/>
          <w:sz w:val="24"/>
          <w:highlight w:val="none"/>
        </w:rPr>
        <w:t>对本项目维保范围内的消防系统（设施）按</w:t>
      </w:r>
      <w:r>
        <w:rPr>
          <w:rFonts w:hint="eastAsia" w:ascii="仿宋_GB2312" w:hAnsi="仿宋_GB2312" w:eastAsia="仿宋_GB2312" w:cs="仿宋_GB2312"/>
          <w:bCs/>
          <w:color w:val="auto"/>
          <w:sz w:val="24"/>
          <w:highlight w:val="none"/>
          <w:u w:val="single"/>
        </w:rPr>
        <w:t xml:space="preserve">  月  </w:t>
      </w:r>
      <w:r>
        <w:rPr>
          <w:rFonts w:hint="eastAsia" w:ascii="仿宋_GB2312" w:hAnsi="仿宋_GB2312" w:eastAsia="仿宋_GB2312" w:cs="仿宋_GB2312"/>
          <w:bCs/>
          <w:color w:val="auto"/>
          <w:sz w:val="24"/>
          <w:highlight w:val="none"/>
        </w:rPr>
        <w:t>实施维保，并出具报告，对本项目维保范围内的消防系统（设备）故障及时排除；</w:t>
      </w:r>
    </w:p>
    <w:p>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2、维保开始第一个月内</w:t>
      </w:r>
      <w:r>
        <w:rPr>
          <w:rFonts w:hint="eastAsia" w:ascii="仿宋_GB2312" w:hAnsi="仿宋_GB2312" w:eastAsia="仿宋_GB2312" w:cs="仿宋_GB2312"/>
          <w:bCs/>
          <w:color w:val="auto"/>
          <w:sz w:val="24"/>
          <w:highlight w:val="none"/>
          <w:lang w:val="en-US" w:eastAsia="zh-CN"/>
        </w:rPr>
        <w:t>乙方</w:t>
      </w:r>
      <w:r>
        <w:rPr>
          <w:rFonts w:hint="eastAsia" w:ascii="仿宋_GB2312" w:hAnsi="仿宋_GB2312" w:eastAsia="仿宋_GB2312" w:cs="仿宋_GB2312"/>
          <w:bCs/>
          <w:color w:val="auto"/>
          <w:sz w:val="24"/>
          <w:highlight w:val="none"/>
        </w:rPr>
        <w:t>对甲方消防管理及操作人员进行消防管理、设施操作培训；</w:t>
      </w:r>
    </w:p>
    <w:p>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3、每个合同年度免费为甲方提供一次消防安全及疏散培训，并协助演练；</w:t>
      </w:r>
    </w:p>
    <w:p>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w:t>
      </w:r>
      <w:r>
        <w:rPr>
          <w:rFonts w:hint="eastAsia" w:ascii="仿宋_GB2312" w:hAnsi="仿宋_GB2312" w:eastAsia="仿宋_GB2312" w:cs="仿宋_GB2312"/>
          <w:bCs/>
          <w:color w:val="auto"/>
          <w:sz w:val="24"/>
          <w:highlight w:val="none"/>
          <w:lang w:val="en-US" w:eastAsia="zh-CN"/>
        </w:rPr>
        <w:t>乙方</w:t>
      </w:r>
      <w:r>
        <w:rPr>
          <w:rFonts w:hint="eastAsia" w:ascii="仿宋_GB2312" w:hAnsi="仿宋_GB2312" w:eastAsia="仿宋_GB2312" w:cs="仿宋_GB2312"/>
          <w:bCs/>
          <w:color w:val="auto"/>
          <w:sz w:val="24"/>
          <w:highlight w:val="none"/>
        </w:rPr>
        <w:t>定期配合甲方组织免费消防安全管理培训，甲方每期可指派2人参加；</w:t>
      </w:r>
    </w:p>
    <w:p>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5、本项目维保期间，消防设施及其配件的单次累计更换费用在 </w:t>
      </w:r>
      <w:r>
        <w:rPr>
          <w:rFonts w:hint="eastAsia" w:ascii="仿宋_GB2312" w:hAnsi="仿宋_GB2312" w:eastAsia="仿宋_GB2312" w:cs="仿宋_GB2312"/>
          <w:bCs/>
          <w:color w:val="auto"/>
          <w:sz w:val="24"/>
          <w:highlight w:val="none"/>
          <w:u w:val="single"/>
        </w:rPr>
        <w:t xml:space="preserve">100 </w:t>
      </w:r>
      <w:r>
        <w:rPr>
          <w:rFonts w:hint="eastAsia" w:ascii="仿宋_GB2312" w:hAnsi="仿宋_GB2312" w:eastAsia="仿宋_GB2312" w:cs="仿宋_GB2312"/>
          <w:bCs/>
          <w:color w:val="auto"/>
          <w:sz w:val="24"/>
          <w:highlight w:val="none"/>
        </w:rPr>
        <w:t>元以内的，由乙方承担（详细清单见附件一）；</w:t>
      </w:r>
      <w:r>
        <w:rPr>
          <w:rFonts w:hint="eastAsia" w:ascii="仿宋_GB2312" w:hAnsi="仿宋_GB2312" w:eastAsia="仿宋_GB2312" w:cs="仿宋_GB2312"/>
          <w:bCs/>
          <w:color w:val="auto"/>
          <w:sz w:val="24"/>
          <w:highlight w:val="none"/>
          <w:u w:val="single"/>
        </w:rPr>
        <w:t xml:space="preserve"> 100 </w:t>
      </w:r>
      <w:r>
        <w:rPr>
          <w:rFonts w:hint="eastAsia" w:ascii="仿宋_GB2312" w:hAnsi="仿宋_GB2312" w:eastAsia="仿宋_GB2312" w:cs="仿宋_GB2312"/>
          <w:bCs/>
          <w:color w:val="auto"/>
          <w:sz w:val="24"/>
          <w:highlight w:val="none"/>
        </w:rPr>
        <w:t>元以上（含）的材料费用由甲方承担；</w:t>
      </w:r>
    </w:p>
    <w:p>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6、指导甲方完善消防档案；</w:t>
      </w:r>
    </w:p>
    <w:p>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7、协助甲方进行消防管理标准化建设（所有消防设施统一设置铭牌，特定场所设置消防安全提示标志等）；</w:t>
      </w:r>
    </w:p>
    <w:p>
      <w:pPr>
        <w:pStyle w:val="24"/>
        <w:tabs>
          <w:tab w:val="left" w:pos="2340"/>
        </w:tabs>
        <w:ind w:left="0" w:leftChars="0"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8、每年出具消防设备、设施年度检测报告。</w:t>
      </w:r>
    </w:p>
    <w:p>
      <w:pPr>
        <w:pStyle w:val="24"/>
        <w:tabs>
          <w:tab w:val="left" w:pos="2340"/>
        </w:tabs>
        <w:ind w:left="0" w:leftChars="0"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9、维保现有经营场所微型消防站（包括但不限于消防柜、消防服、消防鞋、消防头盔、消防斧等微型消防站设备），新建</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lang w:val="en-US" w:eastAsia="zh-CN"/>
        </w:rPr>
        <w:t>项目</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rPr>
        <w:t>经营场所</w:t>
      </w:r>
      <w:r>
        <w:rPr>
          <w:rFonts w:hint="default" w:ascii="仿宋_GB2312" w:hAnsi="仿宋_GB2312" w:eastAsia="仿宋_GB2312" w:cs="仿宋_GB2312"/>
          <w:bCs/>
          <w:color w:val="auto"/>
          <w:sz w:val="24"/>
          <w:highlight w:val="none"/>
          <w:lang w:val="en-US"/>
        </w:rPr>
        <w:t>微型消防站建设</w:t>
      </w:r>
      <w:r>
        <w:rPr>
          <w:rFonts w:hint="eastAsia" w:ascii="仿宋_GB2312" w:hAnsi="仿宋_GB2312" w:eastAsia="仿宋_GB2312" w:cs="仿宋_GB2312"/>
          <w:bCs/>
          <w:color w:val="auto"/>
          <w:sz w:val="24"/>
          <w:highlight w:val="none"/>
          <w:lang w:val="en-US" w:eastAsia="zh-CN"/>
        </w:rPr>
        <w:t>消防器材维保</w:t>
      </w:r>
      <w:r>
        <w:rPr>
          <w:rFonts w:hint="eastAsia" w:ascii="仿宋_GB2312" w:hAnsi="仿宋_GB2312" w:eastAsia="仿宋_GB2312" w:cs="仿宋_GB2312"/>
          <w:bCs/>
          <w:color w:val="auto"/>
          <w:sz w:val="24"/>
          <w:highlight w:val="none"/>
        </w:rPr>
        <w:t>.</w:t>
      </w:r>
    </w:p>
    <w:p>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第四条 新建微型消防站与维保</w:t>
      </w:r>
      <w:r>
        <w:rPr>
          <w:rFonts w:hint="eastAsia" w:ascii="仿宋_GB2312" w:hAnsi="仿宋_GB2312" w:eastAsia="仿宋_GB2312" w:cs="仿宋_GB2312"/>
          <w:b/>
          <w:color w:val="auto"/>
          <w:sz w:val="24"/>
          <w:highlight w:val="none"/>
        </w:rPr>
        <w:t>设备更换流程：</w:t>
      </w:r>
    </w:p>
    <w:p>
      <w:pPr>
        <w:pStyle w:val="24"/>
        <w:tabs>
          <w:tab w:val="left" w:pos="2340"/>
        </w:tabs>
        <w:ind w:left="0" w:leftChars="0"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sz w:val="24"/>
          <w:highlight w:val="none"/>
          <w:lang w:val="en-US" w:eastAsia="zh-CN"/>
        </w:rPr>
        <w:t>1、</w:t>
      </w:r>
      <w:r>
        <w:rPr>
          <w:rFonts w:hint="eastAsia" w:ascii="仿宋_GB2312" w:hAnsi="仿宋_GB2312" w:eastAsia="仿宋_GB2312" w:cs="仿宋_GB2312"/>
          <w:b/>
          <w:color w:val="auto"/>
          <w:sz w:val="24"/>
          <w:highlight w:val="none"/>
        </w:rPr>
        <w:t>甲方新建经营场开始营业后，通知乙方，乙方需在15个工作日内按照甲方要求，配置微型消防站，并通知甲方组织验收。</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乙方于维保中发现问题（甲方日常巡检中发现问题通报乙方）——乙方提出整改方案并附配件更换清单——甲方确认清单委托乙方供应(或自行采购）——乙方供应清单所列设备及材料并开票</w:t>
      </w:r>
      <w:r>
        <w:rPr>
          <w:rFonts w:hint="eastAsia" w:ascii="仿宋_GB2312" w:hAnsi="仿宋_GB2312" w:eastAsia="仿宋_GB2312" w:cs="仿宋_GB2312"/>
          <w:color w:val="auto"/>
          <w:sz w:val="24"/>
          <w:highlight w:val="none"/>
          <w:lang w:eastAsia="zh-CN"/>
        </w:rPr>
        <w:t>（自行购买除外）</w:t>
      </w:r>
      <w:r>
        <w:rPr>
          <w:rFonts w:hint="eastAsia" w:ascii="仿宋_GB2312" w:hAnsi="仿宋_GB2312" w:eastAsia="仿宋_GB2312" w:cs="仿宋_GB2312"/>
          <w:color w:val="auto"/>
          <w:sz w:val="24"/>
          <w:highlight w:val="none"/>
        </w:rPr>
        <w:t>——乙方更换设备——双方共同进行设备（系统）调试验收——甲方验收设备并付款——设备更换全过程资料归档。</w:t>
      </w:r>
    </w:p>
    <w:p>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第五条    双方的责任和义务</w:t>
      </w:r>
    </w:p>
    <w:p>
      <w:pPr>
        <w:numPr>
          <w:ilvl w:val="0"/>
          <w:numId w:val="5"/>
        </w:numPr>
        <w:tabs>
          <w:tab w:val="left" w:pos="560"/>
          <w:tab w:val="clear" w:pos="720"/>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甲方：</w:t>
      </w:r>
    </w:p>
    <w:p>
      <w:pPr>
        <w:numPr>
          <w:ilvl w:val="1"/>
          <w:numId w:val="5"/>
        </w:numPr>
        <w:tabs>
          <w:tab w:val="left" w:pos="840"/>
          <w:tab w:val="clear" w:pos="1140"/>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严格按照设备操作规程操作和使用系统；</w:t>
      </w:r>
    </w:p>
    <w:p>
      <w:pPr>
        <w:numPr>
          <w:ilvl w:val="1"/>
          <w:numId w:val="5"/>
        </w:numPr>
        <w:tabs>
          <w:tab w:val="left" w:pos="840"/>
          <w:tab w:val="clear" w:pos="1140"/>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按时定期做好系统的日常维护，保养和保卫工作；</w:t>
      </w:r>
    </w:p>
    <w:p>
      <w:pPr>
        <w:numPr>
          <w:ilvl w:val="1"/>
          <w:numId w:val="5"/>
        </w:numPr>
        <w:tabs>
          <w:tab w:val="left" w:pos="840"/>
          <w:tab w:val="clear" w:pos="1140"/>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作好值班记录，及时将系统的状况反馈给乙方；</w:t>
      </w:r>
    </w:p>
    <w:p>
      <w:pPr>
        <w:numPr>
          <w:ilvl w:val="1"/>
          <w:numId w:val="5"/>
        </w:numPr>
        <w:tabs>
          <w:tab w:val="left" w:pos="840"/>
          <w:tab w:val="clear" w:pos="1140"/>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系统出现无法排除的故障时，立即通知乙方；</w:t>
      </w:r>
    </w:p>
    <w:p>
      <w:pPr>
        <w:numPr>
          <w:ilvl w:val="1"/>
          <w:numId w:val="5"/>
        </w:numPr>
        <w:tabs>
          <w:tab w:val="left" w:pos="840"/>
          <w:tab w:val="clear" w:pos="1140"/>
        </w:tabs>
        <w:spacing w:line="360" w:lineRule="auto"/>
        <w:ind w:left="840"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配合乙方作好维修、保养、调试、开通工作；及时答复乙方提出的意见及整改方案，并确定实施方案；及时交付乙方由甲方负责提供需更换的设备及材料；</w:t>
      </w:r>
    </w:p>
    <w:p>
      <w:pPr>
        <w:numPr>
          <w:ilvl w:val="1"/>
          <w:numId w:val="5"/>
        </w:numPr>
        <w:tabs>
          <w:tab w:val="left" w:pos="840"/>
          <w:tab w:val="clear" w:pos="1140"/>
        </w:tabs>
        <w:spacing w:line="360" w:lineRule="auto"/>
        <w:ind w:left="840"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按合同约定支付维保服务费；</w:t>
      </w:r>
    </w:p>
    <w:p>
      <w:pPr>
        <w:numPr>
          <w:ilvl w:val="1"/>
          <w:numId w:val="5"/>
        </w:numPr>
        <w:tabs>
          <w:tab w:val="left" w:pos="840"/>
          <w:tab w:val="clear" w:pos="1140"/>
        </w:tabs>
        <w:spacing w:line="360" w:lineRule="auto"/>
        <w:ind w:left="840"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如果因乙方责任原因，影响甲方按工作计划顺利开展工作，造成甲方损失的，乙方承担赔偿责任。</w:t>
      </w:r>
    </w:p>
    <w:p>
      <w:pPr>
        <w:numPr>
          <w:ilvl w:val="1"/>
          <w:numId w:val="5"/>
        </w:numPr>
        <w:tabs>
          <w:tab w:val="left" w:pos="840"/>
          <w:tab w:val="clear" w:pos="1140"/>
        </w:tabs>
        <w:spacing w:line="360" w:lineRule="auto"/>
        <w:ind w:left="840"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甲方有权直接从维保费用中扣取乙方应支付的违约金、赔偿金或其他费用。</w:t>
      </w:r>
    </w:p>
    <w:p>
      <w:pPr>
        <w:numPr>
          <w:ilvl w:val="0"/>
          <w:numId w:val="5"/>
        </w:numPr>
        <w:tabs>
          <w:tab w:val="left" w:pos="560"/>
          <w:tab w:val="clear" w:pos="720"/>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乙方：</w:t>
      </w:r>
    </w:p>
    <w:p>
      <w:pPr>
        <w:numPr>
          <w:ilvl w:val="1"/>
          <w:numId w:val="5"/>
        </w:numPr>
        <w:tabs>
          <w:tab w:val="left" w:pos="700"/>
          <w:tab w:val="clear" w:pos="1140"/>
        </w:tabs>
        <w:spacing w:line="360" w:lineRule="auto"/>
        <w:ind w:left="840"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负责维修、保养、调试、开通工作；负责对存在问题的系统提出专业的意见及整改方案，并协助实施恢复系统正常运行。</w:t>
      </w:r>
    </w:p>
    <w:p>
      <w:pPr>
        <w:numPr>
          <w:ilvl w:val="1"/>
          <w:numId w:val="5"/>
        </w:numPr>
        <w:tabs>
          <w:tab w:val="left" w:pos="700"/>
          <w:tab w:val="clear" w:pos="1140"/>
        </w:tabs>
        <w:spacing w:line="360" w:lineRule="auto"/>
        <w:ind w:left="840"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按规定定期测试系统，确保系统保持正常运行。</w:t>
      </w:r>
    </w:p>
    <w:p>
      <w:pPr>
        <w:numPr>
          <w:ilvl w:val="1"/>
          <w:numId w:val="5"/>
        </w:numPr>
        <w:tabs>
          <w:tab w:val="left" w:pos="700"/>
          <w:tab w:val="clear" w:pos="1140"/>
        </w:tabs>
        <w:spacing w:line="360" w:lineRule="auto"/>
        <w:ind w:left="840"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开通24小时客服电话</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，如遇紧急情况，联系人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，在接获甲方故障通知后的</w:t>
      </w:r>
      <w:r>
        <w:rPr>
          <w:rFonts w:hint="eastAsia" w:ascii="仿宋_GB2312" w:hAnsi="仿宋_GB2312" w:eastAsia="仿宋_GB2312" w:cs="仿宋_GB2312"/>
          <w:color w:val="auto"/>
          <w:sz w:val="24"/>
          <w:highlight w:val="none"/>
          <w:u w:val="single"/>
        </w:rPr>
        <w:t xml:space="preserve"> 2</w:t>
      </w:r>
      <w:r>
        <w:rPr>
          <w:rFonts w:hint="eastAsia" w:ascii="仿宋_GB2312" w:hAnsi="仿宋_GB2312" w:eastAsia="仿宋_GB2312" w:cs="仿宋_GB2312"/>
          <w:color w:val="auto"/>
          <w:sz w:val="24"/>
          <w:highlight w:val="none"/>
        </w:rPr>
        <w:t>小时内，必须到场并及时修复，如乙方未及时到达，则每次扣除维护保养费300元，对甲方经营管理或财产造成损失的，乙方承担赔偿责任。</w:t>
      </w:r>
    </w:p>
    <w:p>
      <w:pPr>
        <w:numPr>
          <w:ilvl w:val="1"/>
          <w:numId w:val="5"/>
        </w:numPr>
        <w:tabs>
          <w:tab w:val="left" w:pos="700"/>
          <w:tab w:val="clear" w:pos="1140"/>
        </w:tabs>
        <w:spacing w:line="360" w:lineRule="auto"/>
        <w:ind w:left="840"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确保甲方通过消防部门的各项检查和检测（如甲方未按乙方要求落实整改除外），如因乙方未完成维护保养任务造成消防检查不合格或遭受职能部门处罚的，则由乙方承担全部责任。</w:t>
      </w:r>
    </w:p>
    <w:p>
      <w:pPr>
        <w:numPr>
          <w:ilvl w:val="1"/>
          <w:numId w:val="5"/>
        </w:numPr>
        <w:tabs>
          <w:tab w:val="left" w:pos="700"/>
          <w:tab w:val="clear" w:pos="1140"/>
        </w:tabs>
        <w:spacing w:line="360" w:lineRule="auto"/>
        <w:ind w:left="840"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协助甲方采购由甲方负责提供的设备及材料。</w:t>
      </w:r>
    </w:p>
    <w:p>
      <w:pPr>
        <w:numPr>
          <w:ilvl w:val="1"/>
          <w:numId w:val="5"/>
        </w:numPr>
        <w:tabs>
          <w:tab w:val="left" w:pos="700"/>
          <w:tab w:val="clear" w:pos="1140"/>
        </w:tabs>
        <w:spacing w:line="360" w:lineRule="auto"/>
        <w:ind w:left="840"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承担维保过程中的一切辅助材料、人员工资、机械费用、差旅费用及其它厂家技术人员的费用。（除甲方自采设备及材料外）。</w:t>
      </w:r>
    </w:p>
    <w:p>
      <w:pPr>
        <w:numPr>
          <w:ilvl w:val="0"/>
          <w:numId w:val="6"/>
        </w:num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 xml:space="preserve">   维保费用及结算方式</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1、经双方协商，本项目</w:t>
      </w:r>
      <w:r>
        <w:rPr>
          <w:rFonts w:hint="eastAsia" w:ascii="仿宋_GB2312" w:hAnsi="仿宋_GB2312" w:eastAsia="仿宋_GB2312" w:cs="仿宋_GB2312"/>
          <w:color w:val="auto"/>
          <w:sz w:val="24"/>
          <w:highlight w:val="none"/>
          <w:lang w:val="en-US" w:eastAsia="zh-CN"/>
        </w:rPr>
        <w:t>暂定含税金额</w:t>
      </w:r>
      <w:r>
        <w:rPr>
          <w:rFonts w:hint="eastAsia" w:ascii="仿宋_GB2312" w:hAnsi="仿宋_GB2312" w:eastAsia="仿宋_GB2312" w:cs="仿宋_GB2312"/>
          <w:color w:val="auto"/>
          <w:sz w:val="24"/>
          <w:highlight w:val="none"/>
        </w:rPr>
        <w:t>为人民币：</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元</w:t>
      </w:r>
      <w:r>
        <w:rPr>
          <w:rFonts w:hint="eastAsia" w:ascii="仿宋_GB2312" w:hAnsi="仿宋_GB2312" w:eastAsia="仿宋_GB2312" w:cs="仿宋_GB2312"/>
          <w:color w:val="auto"/>
          <w:sz w:val="24"/>
          <w:highlight w:val="none"/>
        </w:rPr>
        <w:t>整/年（￥：</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大写</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其中采购部分税率为13%，服务部分税率为6%</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本合同价款所对应的税率为本合同约定之税率。</w:t>
      </w:r>
      <w:r>
        <w:rPr>
          <w:rFonts w:hint="eastAsia" w:ascii="仿宋_GB2312" w:hAnsi="仿宋_GB2312" w:eastAsia="仿宋_GB2312" w:cs="仿宋_GB2312"/>
          <w:color w:val="auto"/>
          <w:sz w:val="24"/>
          <w:highlight w:val="none"/>
          <w:lang w:val="en-US" w:eastAsia="zh-CN"/>
        </w:rPr>
        <w:t>各项</w:t>
      </w:r>
      <w:r>
        <w:rPr>
          <w:rFonts w:hint="eastAsia" w:ascii="仿宋_GB2312" w:hAnsi="仿宋_GB2312" w:eastAsia="仿宋_GB2312" w:cs="仿宋_GB2312"/>
          <w:color w:val="auto"/>
          <w:sz w:val="24"/>
          <w:highlight w:val="none"/>
        </w:rPr>
        <w:t>费用</w:t>
      </w:r>
      <w:r>
        <w:rPr>
          <w:rFonts w:hint="eastAsia" w:ascii="仿宋_GB2312" w:hAnsi="仿宋_GB2312" w:eastAsia="仿宋_GB2312" w:cs="仿宋_GB2312"/>
          <w:color w:val="auto"/>
          <w:sz w:val="24"/>
          <w:highlight w:val="none"/>
          <w:lang w:val="en-US" w:eastAsia="zh-CN"/>
        </w:rPr>
        <w:t>已实际发生费用为准。</w:t>
      </w:r>
      <w:r>
        <w:rPr>
          <w:rFonts w:hint="eastAsia" w:ascii="仿宋_GB2312" w:hAnsi="仿宋_GB2312" w:eastAsia="仿宋_GB2312" w:cs="仿宋_GB2312"/>
          <w:color w:val="auto"/>
          <w:sz w:val="24"/>
          <w:highlight w:val="none"/>
        </w:rPr>
        <w:t>火灾报警控制器、七氟丙烷气体、气瓶、水泵、风机等大型消防设备损坏无法修复时，须双方协商、确定施工方案及维修费用。</w:t>
      </w:r>
    </w:p>
    <w:p>
      <w:pPr>
        <w:spacing w:line="360" w:lineRule="auto"/>
        <w:ind w:firstLine="49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本项目</w:t>
      </w:r>
      <w:r>
        <w:rPr>
          <w:rFonts w:hint="eastAsia" w:ascii="仿宋_GB2312" w:hAnsi="仿宋_GB2312" w:eastAsia="仿宋_GB2312" w:cs="仿宋_GB2312"/>
          <w:color w:val="auto"/>
          <w:sz w:val="24"/>
          <w:highlight w:val="none"/>
        </w:rPr>
        <w:t>费用</w:t>
      </w:r>
      <w:r>
        <w:rPr>
          <w:rFonts w:hint="eastAsia" w:ascii="仿宋_GB2312" w:hAnsi="仿宋_GB2312" w:eastAsia="仿宋_GB2312" w:cs="仿宋_GB2312"/>
          <w:color w:val="auto"/>
          <w:sz w:val="24"/>
          <w:highlight w:val="none"/>
          <w:lang w:val="en-US" w:eastAsia="zh-CN"/>
        </w:rPr>
        <w:t>经双方核对后</w:t>
      </w:r>
      <w:r>
        <w:rPr>
          <w:rFonts w:hint="eastAsia" w:ascii="仿宋_GB2312" w:hAnsi="仿宋_GB2312" w:eastAsia="仿宋_GB2312" w:cs="仿宋_GB2312"/>
          <w:color w:val="auto"/>
          <w:sz w:val="24"/>
          <w:highlight w:val="none"/>
        </w:rPr>
        <w:t>采用转账支付或现金方式</w:t>
      </w:r>
      <w:r>
        <w:rPr>
          <w:rFonts w:hint="eastAsia" w:ascii="仿宋_GB2312" w:hAnsi="仿宋_GB2312" w:eastAsia="仿宋_GB2312" w:cs="仿宋_GB2312"/>
          <w:color w:val="auto"/>
          <w:sz w:val="24"/>
          <w:highlight w:val="none"/>
          <w:lang w:val="en-US" w:eastAsia="zh-CN"/>
        </w:rPr>
        <w:t>支付</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rPr>
        <w:t>（双方结算账户信息见本合同末双方签署栏）</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3、付款方式</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按</w:t>
      </w:r>
      <w:r>
        <w:rPr>
          <w:rFonts w:hint="eastAsia" w:ascii="仿宋_GB2312" w:hAnsi="仿宋_GB2312" w:eastAsia="仿宋_GB2312" w:cs="仿宋_GB2312"/>
          <w:color w:val="auto"/>
          <w:sz w:val="24"/>
          <w:highlight w:val="none"/>
          <w:u w:val="single"/>
          <w:lang w:val="en-US" w:eastAsia="zh-CN"/>
        </w:rPr>
        <w:t>年度</w:t>
      </w:r>
      <w:r>
        <w:rPr>
          <w:rFonts w:hint="eastAsia" w:ascii="仿宋_GB2312" w:hAnsi="仿宋_GB2312" w:eastAsia="仿宋_GB2312" w:cs="仿宋_GB2312"/>
          <w:color w:val="auto"/>
          <w:sz w:val="24"/>
          <w:highlight w:val="none"/>
        </w:rPr>
        <w:t>付款，在合同结束后，甲方对乙方合同履约情况全面验收，</w:t>
      </w:r>
      <w:r>
        <w:rPr>
          <w:rFonts w:hint="eastAsia" w:ascii="仿宋_GB2312" w:hAnsi="仿宋_GB2312" w:eastAsia="仿宋_GB2312" w:cs="仿宋_GB2312"/>
          <w:color w:val="auto"/>
          <w:sz w:val="24"/>
          <w:highlight w:val="none"/>
          <w:lang w:val="en-US" w:eastAsia="zh-CN"/>
        </w:rPr>
        <w:t>经甲方</w:t>
      </w:r>
      <w:r>
        <w:rPr>
          <w:rFonts w:hint="eastAsia" w:ascii="仿宋_GB2312" w:hAnsi="仿宋_GB2312" w:eastAsia="仿宋_GB2312" w:cs="仿宋_GB2312"/>
          <w:color w:val="auto"/>
          <w:sz w:val="24"/>
          <w:highlight w:val="none"/>
        </w:rPr>
        <w:t>验收合格</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对相关费用进行结算后，</w:t>
      </w:r>
      <w:r>
        <w:rPr>
          <w:rFonts w:hint="eastAsia" w:ascii="仿宋_GB2312" w:hAnsi="仿宋_GB2312" w:eastAsia="仿宋_GB2312" w:cs="仿宋_GB2312"/>
          <w:color w:val="auto"/>
          <w:sz w:val="24"/>
          <w:highlight w:val="none"/>
        </w:rPr>
        <w:t>乙方开具</w:t>
      </w:r>
      <w:r>
        <w:rPr>
          <w:rFonts w:hint="eastAsia" w:ascii="仿宋_GB2312" w:hAnsi="仿宋_GB2312" w:eastAsia="仿宋_GB2312" w:cs="仿宋_GB2312"/>
          <w:color w:val="auto"/>
          <w:sz w:val="24"/>
          <w:highlight w:val="none"/>
          <w:lang w:val="en-US" w:eastAsia="zh-CN"/>
        </w:rPr>
        <w:t>与甲方结算</w:t>
      </w:r>
      <w:r>
        <w:rPr>
          <w:rFonts w:hint="eastAsia" w:ascii="仿宋_GB2312" w:hAnsi="仿宋_GB2312" w:eastAsia="仿宋_GB2312" w:cs="仿宋_GB2312"/>
          <w:color w:val="auto"/>
          <w:sz w:val="24"/>
          <w:highlight w:val="none"/>
        </w:rPr>
        <w:t>费用</w:t>
      </w:r>
      <w:r>
        <w:rPr>
          <w:rFonts w:hint="eastAsia" w:ascii="仿宋_GB2312" w:hAnsi="仿宋_GB2312" w:eastAsia="仿宋_GB2312" w:cs="仿宋_GB2312"/>
          <w:color w:val="auto"/>
          <w:sz w:val="24"/>
          <w:highlight w:val="none"/>
          <w:lang w:val="en-US" w:eastAsia="zh-CN"/>
        </w:rPr>
        <w:t>等额合法的</w:t>
      </w:r>
      <w:r>
        <w:rPr>
          <w:rFonts w:hint="eastAsia" w:ascii="仿宋_GB2312" w:hAnsi="仿宋_GB2312" w:eastAsia="仿宋_GB2312" w:cs="仿宋_GB2312"/>
          <w:color w:val="auto"/>
          <w:sz w:val="24"/>
          <w:highlight w:val="none"/>
        </w:rPr>
        <w:t>正规增值税</w:t>
      </w:r>
      <w:r>
        <w:rPr>
          <w:rFonts w:hint="eastAsia" w:ascii="仿宋_GB2312" w:hAnsi="仿宋_GB2312" w:eastAsia="仿宋_GB2312" w:cs="仿宋_GB2312"/>
          <w:color w:val="auto"/>
          <w:sz w:val="24"/>
          <w:highlight w:val="none"/>
          <w:u w:val="single"/>
        </w:rPr>
        <w:t>专用</w:t>
      </w:r>
      <w:r>
        <w:rPr>
          <w:rFonts w:hint="eastAsia" w:ascii="仿宋_GB2312" w:hAnsi="仿宋_GB2312" w:eastAsia="仿宋_GB2312" w:cs="仿宋_GB2312"/>
          <w:color w:val="auto"/>
          <w:sz w:val="24"/>
          <w:highlight w:val="none"/>
        </w:rPr>
        <w:t>发票，甲方</w:t>
      </w:r>
      <w:r>
        <w:rPr>
          <w:rFonts w:hint="eastAsia" w:ascii="仿宋_GB2312" w:hAnsi="仿宋_GB2312" w:eastAsia="仿宋_GB2312" w:cs="仿宋_GB2312"/>
          <w:color w:val="auto"/>
          <w:sz w:val="24"/>
          <w:highlight w:val="none"/>
          <w:lang w:val="en-US" w:eastAsia="zh-CN"/>
        </w:rPr>
        <w:t>在收到发票后</w:t>
      </w:r>
      <w:r>
        <w:rPr>
          <w:rFonts w:hint="eastAsia" w:ascii="仿宋_GB2312" w:hAnsi="仿宋_GB2312" w:eastAsia="仿宋_GB2312" w:cs="仿宋_GB2312"/>
          <w:color w:val="auto"/>
          <w:sz w:val="24"/>
          <w:highlight w:val="none"/>
        </w:rPr>
        <w:t>在30 个工作日内支付年度费用。</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4、乙方根据以下信息向甲方开具合法有效的 </w:t>
      </w:r>
      <w:r>
        <w:rPr>
          <w:rFonts w:hint="eastAsia" w:ascii="仿宋_GB2312" w:hAnsi="仿宋_GB2312" w:eastAsia="仿宋_GB2312" w:cs="仿宋_GB2312"/>
          <w:color w:val="auto"/>
          <w:sz w:val="24"/>
          <w:highlight w:val="none"/>
          <w:lang w:val="en-US" w:eastAsia="zh-CN"/>
        </w:rPr>
        <w:t>13%或</w:t>
      </w:r>
      <w:r>
        <w:rPr>
          <w:rFonts w:hint="eastAsia" w:ascii="仿宋_GB2312" w:hAnsi="仿宋_GB2312" w:eastAsia="仿宋_GB2312" w:cs="仿宋_GB2312"/>
          <w:color w:val="auto"/>
          <w:sz w:val="24"/>
          <w:highlight w:val="none"/>
        </w:rPr>
        <w:t>6%增值税专用 发票，甲方开具信息如下：</w:t>
      </w:r>
    </w:p>
    <w:p>
      <w:pPr>
        <w:spacing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名    称：</w:t>
      </w:r>
      <w:r>
        <w:rPr>
          <w:rFonts w:hint="eastAsia" w:ascii="仿宋_GB2312" w:hAnsi="仿宋_GB2312" w:eastAsia="仿宋_GB2312" w:cs="仿宋_GB2312"/>
          <w:color w:val="auto"/>
          <w:sz w:val="24"/>
          <w:highlight w:val="none"/>
          <w:u w:val="single"/>
        </w:rPr>
        <w:t xml:space="preserve"> 长沙城发能源有限公司 </w:t>
      </w:r>
    </w:p>
    <w:p>
      <w:pPr>
        <w:spacing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开户银行：</w:t>
      </w:r>
      <w:r>
        <w:rPr>
          <w:rFonts w:hint="eastAsia" w:ascii="仿宋_GB2312" w:hAnsi="仿宋_GB2312" w:eastAsia="仿宋_GB2312" w:cs="仿宋_GB2312"/>
          <w:color w:val="auto"/>
          <w:sz w:val="24"/>
          <w:highlight w:val="none"/>
          <w:u w:val="single"/>
        </w:rPr>
        <w:t xml:space="preserve"> 长沙银行汇融支行</w:t>
      </w:r>
    </w:p>
    <w:p>
      <w:pPr>
        <w:spacing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银行账号：</w:t>
      </w:r>
      <w:r>
        <w:rPr>
          <w:rFonts w:hint="eastAsia" w:ascii="仿宋_GB2312" w:hAnsi="仿宋_GB2312" w:eastAsia="仿宋_GB2312" w:cs="仿宋_GB2312"/>
          <w:color w:val="auto"/>
          <w:sz w:val="24"/>
          <w:highlight w:val="none"/>
          <w:u w:val="single"/>
        </w:rPr>
        <w:t xml:space="preserve">  800112071609028  </w:t>
      </w:r>
    </w:p>
    <w:p>
      <w:pPr>
        <w:spacing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纳税人识别号：</w:t>
      </w:r>
      <w:r>
        <w:rPr>
          <w:rFonts w:hint="eastAsia" w:ascii="仿宋_GB2312" w:hAnsi="仿宋_GB2312" w:eastAsia="仿宋_GB2312" w:cs="仿宋_GB2312"/>
          <w:color w:val="auto"/>
          <w:sz w:val="24"/>
          <w:highlight w:val="none"/>
          <w:u w:val="single"/>
        </w:rPr>
        <w:t xml:space="preserve">9143010059325876XB  </w:t>
      </w:r>
    </w:p>
    <w:p>
      <w:pPr>
        <w:spacing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地址电话：</w:t>
      </w:r>
      <w:r>
        <w:rPr>
          <w:rFonts w:hint="eastAsia" w:ascii="仿宋_GB2312" w:hAnsi="仿宋_GB2312" w:eastAsia="仿宋_GB2312" w:cs="仿宋_GB2312"/>
          <w:color w:val="auto"/>
          <w:sz w:val="24"/>
          <w:highlight w:val="none"/>
          <w:u w:val="single"/>
        </w:rPr>
        <w:t xml:space="preserve"> 湖南省长沙市岳麓区先导路179号湘江时代商务广场A栋508-0516房</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乙方收款信息如下：</w:t>
      </w:r>
    </w:p>
    <w:p>
      <w:pPr>
        <w:spacing w:line="360" w:lineRule="auto"/>
        <w:jc w:val="left"/>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户名：</w:t>
      </w:r>
      <w:r>
        <w:rPr>
          <w:rFonts w:hint="eastAsia" w:ascii="仿宋_GB2312" w:hAnsi="仿宋_GB2312" w:eastAsia="仿宋_GB2312" w:cs="仿宋_GB2312"/>
          <w:color w:val="auto"/>
          <w:sz w:val="24"/>
          <w:highlight w:val="none"/>
          <w:u w:val="single"/>
        </w:rPr>
        <w:t xml:space="preserve">      </w:t>
      </w:r>
    </w:p>
    <w:p>
      <w:pPr>
        <w:spacing w:line="360" w:lineRule="auto"/>
        <w:jc w:val="left"/>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开户银行：</w:t>
      </w:r>
      <w:r>
        <w:rPr>
          <w:rFonts w:hint="eastAsia" w:ascii="仿宋_GB2312" w:hAnsi="仿宋_GB2312" w:eastAsia="仿宋_GB2312" w:cs="仿宋_GB2312"/>
          <w:color w:val="auto"/>
          <w:sz w:val="24"/>
          <w:highlight w:val="none"/>
          <w:u w:val="single"/>
        </w:rPr>
        <w:t xml:space="preserve">    </w:t>
      </w:r>
    </w:p>
    <w:p>
      <w:pPr>
        <w:spacing w:line="360" w:lineRule="auto"/>
        <w:jc w:val="left"/>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银行账号：</w:t>
      </w:r>
      <w:r>
        <w:rPr>
          <w:rFonts w:hint="eastAsia" w:ascii="仿宋_GB2312" w:hAnsi="仿宋_GB2312" w:eastAsia="仿宋_GB2312" w:cs="仿宋_GB2312"/>
          <w:color w:val="auto"/>
          <w:sz w:val="24"/>
          <w:highlight w:val="none"/>
          <w:u w:val="single"/>
        </w:rPr>
        <w:t xml:space="preserve">      </w:t>
      </w:r>
    </w:p>
    <w:p>
      <w:pPr>
        <w:spacing w:line="360" w:lineRule="auto"/>
        <w:jc w:val="left"/>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纳税人识别号：</w:t>
      </w:r>
      <w:r>
        <w:rPr>
          <w:rFonts w:hint="eastAsia" w:ascii="仿宋_GB2312" w:hAnsi="仿宋_GB2312" w:eastAsia="仿宋_GB2312" w:cs="仿宋_GB2312"/>
          <w:color w:val="auto"/>
          <w:sz w:val="24"/>
          <w:highlight w:val="none"/>
          <w:u w:val="single"/>
        </w:rPr>
        <w:t xml:space="preserve">    </w:t>
      </w:r>
    </w:p>
    <w:p>
      <w:pPr>
        <w:spacing w:line="360" w:lineRule="auto"/>
        <w:ind w:firstLine="48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本合同的服务主体、收款主体和发票开具主体均为乙方。</w:t>
      </w:r>
    </w:p>
    <w:p>
      <w:pPr>
        <w:numPr>
          <w:ilvl w:val="0"/>
          <w:numId w:val="6"/>
        </w:num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 xml:space="preserve"> </w:t>
      </w:r>
      <w:r>
        <w:rPr>
          <w:rFonts w:hint="eastAsia" w:ascii="仿宋_GB2312" w:hAnsi="仿宋_GB2312" w:eastAsia="仿宋_GB2312" w:cs="仿宋_GB2312"/>
          <w:b/>
          <w:bCs/>
          <w:color w:val="auto"/>
          <w:sz w:val="24"/>
          <w:highlight w:val="none"/>
          <w:lang w:val="en-US" w:eastAsia="zh-CN"/>
        </w:rPr>
        <w:t>违约责任</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1、甲方如果未及时按约定支付维护费用的，</w:t>
      </w:r>
      <w:r>
        <w:rPr>
          <w:rFonts w:hint="eastAsia" w:ascii="仿宋_GB2312" w:hAnsi="仿宋_GB2312" w:eastAsia="仿宋_GB2312" w:cs="仿宋_GB2312"/>
          <w:color w:val="auto"/>
          <w:sz w:val="24"/>
          <w:highlight w:val="none"/>
          <w:lang w:val="en-US" w:eastAsia="zh-CN"/>
        </w:rPr>
        <w:t>经乙方催告仍不支付的，</w:t>
      </w:r>
      <w:r>
        <w:rPr>
          <w:rFonts w:hint="eastAsia" w:ascii="仿宋_GB2312" w:hAnsi="仿宋_GB2312" w:eastAsia="仿宋_GB2312" w:cs="仿宋_GB2312"/>
          <w:color w:val="auto"/>
          <w:sz w:val="24"/>
          <w:highlight w:val="none"/>
        </w:rPr>
        <w:t>乙方有权在书面通知甲方15个工作日后单方面解除合同。</w:t>
      </w:r>
    </w:p>
    <w:p>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2、乙方由于服务不及时或服务质量未达到甲方的要求（包括消防要求），在甲方提出书面通知15个工作日内未整改到位的，甲方有权单方面解除合同，双方按乙方实际提供服务的期限结算费用，同时乙方应向甲方支付相当于合同总金额</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%的违约金，违约金不足以弥补损失的，还应予以补足</w:t>
      </w:r>
      <w:r>
        <w:rPr>
          <w:rFonts w:hint="eastAsia" w:ascii="仿宋_GB2312" w:hAnsi="仿宋_GB2312" w:eastAsia="仿宋_GB2312" w:cs="仿宋_GB2312"/>
          <w:color w:val="auto"/>
          <w:sz w:val="24"/>
          <w:highlight w:val="none"/>
          <w:lang w:eastAsia="zh-CN"/>
        </w:rPr>
        <w:t>。</w:t>
      </w:r>
    </w:p>
    <w:p>
      <w:pPr>
        <w:spacing w:line="360" w:lineRule="auto"/>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3、由于乙方维保服务</w:t>
      </w:r>
      <w:r>
        <w:rPr>
          <w:rFonts w:hint="eastAsia" w:ascii="仿宋_GB2312" w:hAnsi="仿宋_GB2312" w:eastAsia="仿宋_GB2312" w:cs="仿宋_GB2312"/>
          <w:color w:val="auto"/>
          <w:sz w:val="24"/>
          <w:highlight w:val="none"/>
        </w:rPr>
        <w:t>未达到甲方的要求（包括消防要求）</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导致甲方加油站、能源站未通过消防检查或出现消防事故的，乙方需赔偿甲方全部损失。</w:t>
      </w:r>
    </w:p>
    <w:p>
      <w:pPr>
        <w:numPr>
          <w:ilvl w:val="0"/>
          <w:numId w:val="6"/>
        </w:num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 xml:space="preserve"> 其他</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1、在执行本协议过程中若发生争议，双方应友好协商解决。经协商无法达成一致的，则提交甲方所在地的人民法院进行诉讼。</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2、本合同自双方签字盖章后生效。未尽事宜由双方协商解决。</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如乙方在维保期内，甲方因场地进行装修时，在装修时段起止时间开始至装修结束时段乙方不予维护保养，就该装修项目的维护保养事宜，延续装修时长（例如：装修时长为1个月，本合同往后延长一个月）或装修时双方签署补充协议。</w:t>
      </w:r>
    </w:p>
    <w:p>
      <w:pPr>
        <w:spacing w:line="360" w:lineRule="auto"/>
        <w:ind w:left="357" w:leftChars="17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4、本合同一式</w:t>
      </w:r>
      <w:r>
        <w:rPr>
          <w:rFonts w:hint="eastAsia" w:ascii="仿宋_GB2312" w:hAnsi="仿宋_GB2312" w:eastAsia="仿宋_GB2312" w:cs="仿宋_GB2312"/>
          <w:color w:val="auto"/>
          <w:sz w:val="24"/>
          <w:highlight w:val="none"/>
          <w:u w:val="single"/>
        </w:rPr>
        <w:t xml:space="preserve"> 肆 </w:t>
      </w:r>
      <w:r>
        <w:rPr>
          <w:rFonts w:hint="eastAsia" w:ascii="仿宋_GB2312" w:hAnsi="仿宋_GB2312" w:eastAsia="仿宋_GB2312" w:cs="仿宋_GB2312"/>
          <w:color w:val="auto"/>
          <w:sz w:val="24"/>
          <w:highlight w:val="none"/>
        </w:rPr>
        <w:t>份，甲、乙双方各执</w:t>
      </w:r>
      <w:r>
        <w:rPr>
          <w:rFonts w:hint="eastAsia" w:ascii="仿宋_GB2312" w:hAnsi="仿宋_GB2312" w:eastAsia="仿宋_GB2312" w:cs="仿宋_GB2312"/>
          <w:color w:val="auto"/>
          <w:sz w:val="24"/>
          <w:highlight w:val="none"/>
          <w:u w:val="single"/>
        </w:rPr>
        <w:t xml:space="preserve"> 贰 </w:t>
      </w:r>
      <w:r>
        <w:rPr>
          <w:rFonts w:hint="eastAsia" w:ascii="仿宋_GB2312" w:hAnsi="仿宋_GB2312" w:eastAsia="仿宋_GB2312" w:cs="仿宋_GB2312"/>
          <w:color w:val="auto"/>
          <w:sz w:val="24"/>
          <w:highlight w:val="none"/>
        </w:rPr>
        <w:t>份。</w:t>
      </w:r>
    </w:p>
    <w:p>
      <w:pPr>
        <w:spacing w:line="360" w:lineRule="auto"/>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附件一：</w:t>
      </w:r>
      <w:r>
        <w:rPr>
          <w:rFonts w:hint="eastAsia" w:ascii="仿宋_GB2312" w:hAnsi="仿宋_GB2312" w:eastAsia="仿宋_GB2312" w:cs="仿宋_GB2312"/>
          <w:color w:val="auto"/>
          <w:sz w:val="24"/>
          <w:highlight w:val="none"/>
          <w:u w:val="single"/>
        </w:rPr>
        <w:t>《100元以内的设备清单》</w:t>
      </w:r>
    </w:p>
    <w:p>
      <w:pP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甲方：长沙城发能源有限公司                   乙方： </w:t>
      </w:r>
    </w:p>
    <w:p>
      <w:pPr>
        <w:rPr>
          <w:rFonts w:ascii="仿宋_GB2312" w:hAnsi="仿宋_GB2312" w:eastAsia="仿宋_GB2312" w:cs="仿宋_GB2312"/>
          <w:b/>
          <w:color w:val="auto"/>
          <w:sz w:val="24"/>
          <w:highlight w:val="none"/>
        </w:rPr>
      </w:pPr>
    </w:p>
    <w:p>
      <w:pP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法</w:t>
      </w:r>
      <w:r>
        <w:rPr>
          <w:rFonts w:hint="eastAsia" w:ascii="仿宋_GB2312" w:hAnsi="仿宋_GB2312" w:eastAsia="仿宋_GB2312" w:cs="仿宋_GB2312"/>
          <w:b/>
          <w:color w:val="auto"/>
          <w:sz w:val="24"/>
          <w:highlight w:val="none"/>
          <w:lang w:val="en-US" w:eastAsia="zh-CN"/>
        </w:rPr>
        <w:t>定</w:t>
      </w:r>
      <w:r>
        <w:rPr>
          <w:rFonts w:hint="eastAsia" w:ascii="仿宋_GB2312" w:hAnsi="仿宋_GB2312" w:eastAsia="仿宋_GB2312" w:cs="仿宋_GB2312"/>
          <w:b/>
          <w:color w:val="auto"/>
          <w:sz w:val="24"/>
          <w:highlight w:val="none"/>
        </w:rPr>
        <w:t>代表</w:t>
      </w:r>
      <w:r>
        <w:rPr>
          <w:rFonts w:hint="eastAsia" w:ascii="仿宋_GB2312" w:hAnsi="仿宋_GB2312" w:eastAsia="仿宋_GB2312" w:cs="仿宋_GB2312"/>
          <w:b/>
          <w:color w:val="auto"/>
          <w:sz w:val="24"/>
          <w:highlight w:val="none"/>
          <w:lang w:val="en-US" w:eastAsia="zh-CN"/>
        </w:rPr>
        <w:t>人</w:t>
      </w:r>
      <w:r>
        <w:rPr>
          <w:rFonts w:hint="eastAsia" w:ascii="仿宋_GB2312" w:hAnsi="仿宋_GB2312" w:eastAsia="仿宋_GB2312" w:cs="仿宋_GB2312"/>
          <w:b/>
          <w:color w:val="auto"/>
          <w:sz w:val="24"/>
          <w:highlight w:val="none"/>
        </w:rPr>
        <w:t>（或委托代理人）：                   法</w:t>
      </w:r>
      <w:r>
        <w:rPr>
          <w:rFonts w:hint="eastAsia" w:ascii="仿宋_GB2312" w:hAnsi="仿宋_GB2312" w:eastAsia="仿宋_GB2312" w:cs="仿宋_GB2312"/>
          <w:b/>
          <w:color w:val="auto"/>
          <w:sz w:val="24"/>
          <w:highlight w:val="none"/>
          <w:lang w:val="en-US" w:eastAsia="zh-CN"/>
        </w:rPr>
        <w:t>定</w:t>
      </w:r>
      <w:r>
        <w:rPr>
          <w:rFonts w:hint="eastAsia" w:ascii="仿宋_GB2312" w:hAnsi="仿宋_GB2312" w:eastAsia="仿宋_GB2312" w:cs="仿宋_GB2312"/>
          <w:b/>
          <w:color w:val="auto"/>
          <w:sz w:val="24"/>
          <w:highlight w:val="none"/>
        </w:rPr>
        <w:t>代表</w:t>
      </w:r>
      <w:r>
        <w:rPr>
          <w:rFonts w:hint="eastAsia" w:ascii="仿宋_GB2312" w:hAnsi="仿宋_GB2312" w:eastAsia="仿宋_GB2312" w:cs="仿宋_GB2312"/>
          <w:b/>
          <w:color w:val="auto"/>
          <w:sz w:val="24"/>
          <w:highlight w:val="none"/>
          <w:lang w:val="en-US" w:eastAsia="zh-CN"/>
        </w:rPr>
        <w:t>人</w:t>
      </w:r>
      <w:r>
        <w:rPr>
          <w:rFonts w:hint="eastAsia" w:ascii="仿宋_GB2312" w:hAnsi="仿宋_GB2312" w:eastAsia="仿宋_GB2312" w:cs="仿宋_GB2312"/>
          <w:b/>
          <w:color w:val="auto"/>
          <w:sz w:val="24"/>
          <w:highlight w:val="none"/>
        </w:rPr>
        <w:t>（或委托代理人）：</w:t>
      </w:r>
    </w:p>
    <w:p>
      <w:pPr>
        <w:rPr>
          <w:rFonts w:ascii="仿宋_GB2312" w:hAnsi="仿宋_GB2312" w:eastAsia="仿宋_GB2312" w:cs="仿宋_GB2312"/>
          <w:b/>
          <w:color w:val="auto"/>
          <w:sz w:val="24"/>
          <w:highlight w:val="none"/>
        </w:rPr>
      </w:pPr>
    </w:p>
    <w:p>
      <w:pP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电话：                                       电话：</w:t>
      </w:r>
    </w:p>
    <w:p>
      <w:pPr>
        <w:pStyle w:val="11"/>
        <w:ind w:firstLine="0" w:firstLineChars="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签订日期：</w:t>
      </w:r>
      <w:r>
        <w:rPr>
          <w:rFonts w:hint="eastAsia" w:ascii="仿宋_GB2312" w:hAnsi="仿宋_GB2312" w:eastAsia="仿宋_GB2312" w:cs="仿宋_GB2312"/>
          <w:b/>
          <w:color w:val="auto"/>
          <w:sz w:val="24"/>
          <w:highlight w:val="none"/>
          <w:u w:val="single"/>
        </w:rPr>
        <w:t xml:space="preserve">      </w:t>
      </w:r>
      <w:r>
        <w:rPr>
          <w:rFonts w:hint="eastAsia" w:ascii="仿宋_GB2312" w:hAnsi="仿宋_GB2312" w:eastAsia="仿宋_GB2312" w:cs="仿宋_GB2312"/>
          <w:b/>
          <w:color w:val="auto"/>
          <w:sz w:val="24"/>
          <w:highlight w:val="none"/>
        </w:rPr>
        <w:t>年</w:t>
      </w:r>
      <w:r>
        <w:rPr>
          <w:rFonts w:hint="eastAsia" w:ascii="仿宋_GB2312" w:hAnsi="仿宋_GB2312" w:eastAsia="仿宋_GB2312" w:cs="仿宋_GB2312"/>
          <w:b/>
          <w:color w:val="auto"/>
          <w:sz w:val="24"/>
          <w:highlight w:val="none"/>
          <w:u w:val="single"/>
        </w:rPr>
        <w:t xml:space="preserve"> </w:t>
      </w:r>
      <w:r>
        <w:rPr>
          <w:rFonts w:hint="eastAsia" w:ascii="仿宋_GB2312" w:hAnsi="仿宋_GB2312" w:eastAsia="仿宋_GB2312" w:cs="仿宋_GB2312"/>
          <w:b/>
          <w:color w:val="auto"/>
          <w:sz w:val="24"/>
          <w:highlight w:val="none"/>
          <w:u w:val="single"/>
          <w:lang w:val="en-US" w:eastAsia="zh-CN"/>
        </w:rPr>
        <w:t xml:space="preserve"> </w:t>
      </w:r>
      <w:r>
        <w:rPr>
          <w:rFonts w:hint="eastAsia" w:ascii="仿宋_GB2312" w:hAnsi="仿宋_GB2312" w:eastAsia="仿宋_GB2312" w:cs="仿宋_GB2312"/>
          <w:b/>
          <w:color w:val="auto"/>
          <w:sz w:val="24"/>
          <w:highlight w:val="none"/>
          <w:u w:val="single"/>
        </w:rPr>
        <w:t xml:space="preserve">  </w:t>
      </w:r>
      <w:r>
        <w:rPr>
          <w:rFonts w:hint="eastAsia" w:ascii="仿宋_GB2312" w:hAnsi="仿宋_GB2312" w:eastAsia="仿宋_GB2312" w:cs="仿宋_GB2312"/>
          <w:b/>
          <w:color w:val="auto"/>
          <w:sz w:val="24"/>
          <w:highlight w:val="none"/>
        </w:rPr>
        <w:t>月</w:t>
      </w:r>
      <w:r>
        <w:rPr>
          <w:rFonts w:hint="eastAsia" w:ascii="仿宋_GB2312" w:hAnsi="仿宋_GB2312" w:eastAsia="仿宋_GB2312" w:cs="仿宋_GB2312"/>
          <w:b/>
          <w:color w:val="auto"/>
          <w:sz w:val="24"/>
          <w:highlight w:val="none"/>
          <w:u w:val="single"/>
        </w:rPr>
        <w:t xml:space="preserve">   </w:t>
      </w:r>
      <w:r>
        <w:rPr>
          <w:rFonts w:hint="eastAsia" w:ascii="仿宋_GB2312" w:hAnsi="仿宋_GB2312" w:eastAsia="仿宋_GB2312" w:cs="仿宋_GB2312"/>
          <w:b/>
          <w:color w:val="auto"/>
          <w:sz w:val="24"/>
          <w:highlight w:val="none"/>
        </w:rPr>
        <w:t>日        签订日期：</w:t>
      </w:r>
      <w:r>
        <w:rPr>
          <w:rFonts w:hint="eastAsia" w:ascii="仿宋_GB2312" w:hAnsi="仿宋_GB2312" w:eastAsia="仿宋_GB2312" w:cs="仿宋_GB2312"/>
          <w:b/>
          <w:color w:val="auto"/>
          <w:sz w:val="24"/>
          <w:highlight w:val="none"/>
          <w:u w:val="single"/>
        </w:rPr>
        <w:t xml:space="preserve">      </w:t>
      </w:r>
      <w:r>
        <w:rPr>
          <w:rFonts w:hint="eastAsia" w:ascii="仿宋_GB2312" w:hAnsi="仿宋_GB2312" w:eastAsia="仿宋_GB2312" w:cs="仿宋_GB2312"/>
          <w:b/>
          <w:color w:val="auto"/>
          <w:sz w:val="24"/>
          <w:highlight w:val="none"/>
        </w:rPr>
        <w:t>年</w:t>
      </w:r>
      <w:r>
        <w:rPr>
          <w:rFonts w:hint="eastAsia" w:ascii="仿宋_GB2312" w:hAnsi="仿宋_GB2312" w:eastAsia="仿宋_GB2312" w:cs="仿宋_GB2312"/>
          <w:b/>
          <w:color w:val="auto"/>
          <w:sz w:val="24"/>
          <w:highlight w:val="none"/>
          <w:u w:val="single"/>
        </w:rPr>
        <w:t xml:space="preserve"> </w:t>
      </w:r>
      <w:r>
        <w:rPr>
          <w:rFonts w:hint="eastAsia" w:ascii="仿宋_GB2312" w:hAnsi="仿宋_GB2312" w:eastAsia="仿宋_GB2312" w:cs="仿宋_GB2312"/>
          <w:b/>
          <w:color w:val="auto"/>
          <w:sz w:val="24"/>
          <w:highlight w:val="none"/>
          <w:u w:val="single"/>
          <w:lang w:val="en-US" w:eastAsia="zh-CN"/>
        </w:rPr>
        <w:t xml:space="preserve"> </w:t>
      </w:r>
      <w:r>
        <w:rPr>
          <w:rFonts w:hint="eastAsia" w:ascii="仿宋_GB2312" w:hAnsi="仿宋_GB2312" w:eastAsia="仿宋_GB2312" w:cs="仿宋_GB2312"/>
          <w:b/>
          <w:color w:val="auto"/>
          <w:sz w:val="24"/>
          <w:highlight w:val="none"/>
          <w:u w:val="single"/>
        </w:rPr>
        <w:t xml:space="preserve">  </w:t>
      </w:r>
      <w:r>
        <w:rPr>
          <w:rFonts w:hint="eastAsia" w:ascii="仿宋_GB2312" w:hAnsi="仿宋_GB2312" w:eastAsia="仿宋_GB2312" w:cs="仿宋_GB2312"/>
          <w:b/>
          <w:color w:val="auto"/>
          <w:sz w:val="24"/>
          <w:highlight w:val="none"/>
        </w:rPr>
        <w:t>月</w:t>
      </w:r>
      <w:r>
        <w:rPr>
          <w:rFonts w:hint="eastAsia" w:ascii="仿宋_GB2312" w:hAnsi="仿宋_GB2312" w:eastAsia="仿宋_GB2312" w:cs="仿宋_GB2312"/>
          <w:b/>
          <w:color w:val="auto"/>
          <w:sz w:val="24"/>
          <w:highlight w:val="none"/>
          <w:u w:val="single"/>
        </w:rPr>
        <w:t xml:space="preserve">  </w:t>
      </w:r>
      <w:r>
        <w:rPr>
          <w:rFonts w:hint="eastAsia" w:ascii="仿宋_GB2312" w:hAnsi="仿宋_GB2312" w:eastAsia="仿宋_GB2312" w:cs="仿宋_GB2312"/>
          <w:b/>
          <w:color w:val="auto"/>
          <w:sz w:val="24"/>
          <w:highlight w:val="none"/>
          <w:u w:val="single"/>
          <w:lang w:val="en-US" w:eastAsia="zh-CN"/>
        </w:rPr>
        <w:t xml:space="preserve"> </w:t>
      </w:r>
      <w:r>
        <w:rPr>
          <w:rFonts w:hint="eastAsia" w:ascii="仿宋_GB2312" w:hAnsi="仿宋_GB2312" w:eastAsia="仿宋_GB2312" w:cs="仿宋_GB2312"/>
          <w:b/>
          <w:color w:val="auto"/>
          <w:sz w:val="24"/>
          <w:highlight w:val="none"/>
          <w:u w:val="single"/>
        </w:rPr>
        <w:t xml:space="preserve"> </w:t>
      </w:r>
      <w:r>
        <w:rPr>
          <w:rFonts w:hint="eastAsia" w:ascii="仿宋_GB2312" w:hAnsi="仿宋_GB2312" w:eastAsia="仿宋_GB2312" w:cs="仿宋_GB2312"/>
          <w:b/>
          <w:color w:val="auto"/>
          <w:sz w:val="24"/>
          <w:highlight w:val="none"/>
        </w:rPr>
        <w:t>日</w:t>
      </w:r>
    </w:p>
    <w:p>
      <w:pPr>
        <w:widowControl/>
        <w:jc w:val="lef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br w:type="page"/>
      </w:r>
    </w:p>
    <w:p>
      <w:pPr>
        <w:ind w:left="0" w:firstLine="0" w:firstLineChars="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附件一：</w:t>
      </w:r>
    </w:p>
    <w:p>
      <w:pPr>
        <w:ind w:firstLine="440" w:firstLineChars="200"/>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在消防系统维护保养过程中，因非人为损坏、丢失的原因，由（乙方）负责承担的单次累计不超过100元的设备清单如下：</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235"/>
        <w:gridCol w:w="223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序号</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设备名称</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型号及规格</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接线端子</w:t>
            </w:r>
          </w:p>
        </w:tc>
        <w:tc>
          <w:tcPr>
            <w:tcW w:w="1250" w:type="pct"/>
            <w:vAlign w:val="center"/>
          </w:tcPr>
          <w:p>
            <w:pPr>
              <w:jc w:val="center"/>
              <w:rPr>
                <w:rFonts w:ascii="仿宋_GB2312" w:hAnsi="仿宋_GB2312" w:eastAsia="仿宋_GB2312" w:cs="仿宋_GB2312"/>
                <w:color w:val="auto"/>
                <w:sz w:val="22"/>
                <w:szCs w:val="22"/>
                <w:highlight w:val="none"/>
              </w:rPr>
            </w:pPr>
          </w:p>
        </w:tc>
        <w:tc>
          <w:tcPr>
            <w:tcW w:w="1250" w:type="pct"/>
            <w:vMerge w:val="restart"/>
            <w:vAlign w:val="center"/>
          </w:tcPr>
          <w:p>
            <w:pPr>
              <w:jc w:val="center"/>
              <w:rPr>
                <w:rFonts w:ascii="仿宋_GB2312" w:hAnsi="仿宋_GB2312" w:eastAsia="仿宋_GB2312" w:cs="仿宋_GB2312"/>
                <w:color w:val="auto"/>
                <w:sz w:val="22"/>
                <w:szCs w:val="22"/>
                <w:highlight w:val="none"/>
              </w:rPr>
            </w:pPr>
          </w:p>
          <w:p>
            <w:pPr>
              <w:jc w:val="center"/>
              <w:rPr>
                <w:rFonts w:ascii="仿宋_GB2312" w:hAnsi="仿宋_GB2312" w:eastAsia="仿宋_GB2312" w:cs="仿宋_GB2312"/>
                <w:color w:val="auto"/>
                <w:sz w:val="22"/>
                <w:szCs w:val="22"/>
                <w:highlight w:val="none"/>
              </w:rPr>
            </w:pPr>
          </w:p>
          <w:p>
            <w:pPr>
              <w:jc w:val="center"/>
              <w:rPr>
                <w:rFonts w:ascii="仿宋_GB2312" w:hAnsi="仿宋_GB2312" w:eastAsia="仿宋_GB2312" w:cs="仿宋_GB2312"/>
                <w:color w:val="auto"/>
                <w:sz w:val="22"/>
                <w:szCs w:val="22"/>
                <w:highlight w:val="none"/>
              </w:rPr>
            </w:pPr>
          </w:p>
          <w:p>
            <w:pPr>
              <w:jc w:val="center"/>
              <w:rPr>
                <w:rFonts w:ascii="仿宋_GB2312" w:hAnsi="仿宋_GB2312" w:eastAsia="仿宋_GB2312" w:cs="仿宋_GB2312"/>
                <w:color w:val="auto"/>
                <w:sz w:val="22"/>
                <w:szCs w:val="22"/>
                <w:highlight w:val="none"/>
              </w:rPr>
            </w:pPr>
          </w:p>
          <w:p>
            <w:pPr>
              <w:jc w:val="center"/>
              <w:rPr>
                <w:rFonts w:ascii="仿宋_GB2312" w:hAnsi="仿宋_GB2312" w:eastAsia="仿宋_GB2312" w:cs="仿宋_GB2312"/>
                <w:color w:val="auto"/>
                <w:sz w:val="22"/>
                <w:szCs w:val="22"/>
                <w:highlight w:val="none"/>
              </w:rPr>
            </w:pPr>
          </w:p>
          <w:p>
            <w:pPr>
              <w:jc w:val="center"/>
              <w:rPr>
                <w:rFonts w:ascii="仿宋_GB2312" w:hAnsi="仿宋_GB2312" w:eastAsia="仿宋_GB2312" w:cs="仿宋_GB2312"/>
                <w:color w:val="auto"/>
                <w:sz w:val="22"/>
                <w:szCs w:val="22"/>
                <w:highlight w:val="none"/>
              </w:rPr>
            </w:pPr>
          </w:p>
          <w:p>
            <w:pPr>
              <w:jc w:val="center"/>
              <w:rPr>
                <w:rFonts w:ascii="仿宋_GB2312" w:hAnsi="仿宋_GB2312" w:eastAsia="仿宋_GB2312" w:cs="仿宋_GB2312"/>
                <w:color w:val="auto"/>
                <w:sz w:val="22"/>
                <w:szCs w:val="22"/>
                <w:highlight w:val="none"/>
              </w:rPr>
            </w:pPr>
          </w:p>
          <w:p>
            <w:pPr>
              <w:jc w:val="center"/>
              <w:rPr>
                <w:rFonts w:ascii="仿宋_GB2312" w:hAnsi="仿宋_GB2312" w:eastAsia="仿宋_GB2312" w:cs="仿宋_GB2312"/>
                <w:color w:val="auto"/>
                <w:sz w:val="22"/>
                <w:szCs w:val="22"/>
                <w:highlight w:val="none"/>
              </w:rPr>
            </w:pPr>
          </w:p>
          <w:p>
            <w:pPr>
              <w:jc w:val="center"/>
              <w:rPr>
                <w:rFonts w:ascii="仿宋_GB2312" w:hAnsi="仿宋_GB2312" w:eastAsia="仿宋_GB2312" w:cs="仿宋_GB2312"/>
                <w:color w:val="auto"/>
                <w:sz w:val="22"/>
                <w:szCs w:val="22"/>
                <w:highlight w:val="none"/>
              </w:rPr>
            </w:pPr>
          </w:p>
          <w:p>
            <w:pPr>
              <w:jc w:val="center"/>
              <w:rPr>
                <w:rFonts w:ascii="仿宋_GB2312" w:hAnsi="仿宋_GB2312" w:eastAsia="仿宋_GB2312" w:cs="仿宋_GB2312"/>
                <w:color w:val="auto"/>
                <w:sz w:val="22"/>
                <w:szCs w:val="22"/>
                <w:highlight w:val="none"/>
              </w:rPr>
            </w:pPr>
          </w:p>
          <w:p>
            <w:pPr>
              <w:jc w:val="center"/>
              <w:rPr>
                <w:rFonts w:ascii="仿宋_GB2312" w:hAnsi="仿宋_GB2312" w:eastAsia="仿宋_GB2312" w:cs="仿宋_GB2312"/>
                <w:color w:val="auto"/>
                <w:sz w:val="22"/>
                <w:szCs w:val="22"/>
                <w:highlight w:val="none"/>
              </w:rPr>
            </w:pPr>
          </w:p>
          <w:p>
            <w:pPr>
              <w:jc w:val="center"/>
              <w:rPr>
                <w:rFonts w:ascii="仿宋_GB2312" w:hAnsi="仿宋_GB2312" w:eastAsia="仿宋_GB2312" w:cs="仿宋_GB2312"/>
                <w:color w:val="auto"/>
                <w:sz w:val="22"/>
                <w:szCs w:val="22"/>
                <w:highlight w:val="none"/>
              </w:rPr>
            </w:pPr>
          </w:p>
          <w:p>
            <w:pPr>
              <w:jc w:val="center"/>
              <w:rPr>
                <w:rFonts w:ascii="仿宋_GB2312" w:hAnsi="仿宋_GB2312" w:eastAsia="仿宋_GB2312" w:cs="仿宋_GB2312"/>
                <w:color w:val="auto"/>
                <w:sz w:val="22"/>
                <w:szCs w:val="22"/>
                <w:highlight w:val="none"/>
              </w:rPr>
            </w:pPr>
          </w:p>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仅包括自然老化、故障造成的损坏。不包括人为损坏、被盗等原因造成的更换。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接线盒</w:t>
            </w:r>
          </w:p>
        </w:tc>
        <w:tc>
          <w:tcPr>
            <w:tcW w:w="1250" w:type="pct"/>
            <w:vAlign w:val="center"/>
          </w:tcPr>
          <w:p>
            <w:pPr>
              <w:jc w:val="center"/>
              <w:rPr>
                <w:rFonts w:ascii="仿宋_GB2312" w:hAnsi="仿宋_GB2312" w:eastAsia="仿宋_GB2312" w:cs="仿宋_GB2312"/>
                <w:color w:val="auto"/>
                <w:sz w:val="22"/>
                <w:szCs w:val="22"/>
                <w:highlight w:val="none"/>
              </w:rPr>
            </w:pP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喷淋喷头</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DN15</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黄油</w:t>
            </w:r>
          </w:p>
        </w:tc>
        <w:tc>
          <w:tcPr>
            <w:tcW w:w="1250" w:type="pct"/>
            <w:vAlign w:val="center"/>
          </w:tcPr>
          <w:p>
            <w:pPr>
              <w:jc w:val="center"/>
              <w:rPr>
                <w:rFonts w:ascii="仿宋_GB2312" w:hAnsi="仿宋_GB2312" w:eastAsia="仿宋_GB2312" w:cs="仿宋_GB2312"/>
                <w:color w:val="auto"/>
                <w:sz w:val="22"/>
                <w:szCs w:val="22"/>
                <w:highlight w:val="none"/>
              </w:rPr>
            </w:pP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电胶布</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九头鸟</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麻丝</w:t>
            </w:r>
          </w:p>
        </w:tc>
        <w:tc>
          <w:tcPr>
            <w:tcW w:w="1250" w:type="pct"/>
            <w:vAlign w:val="center"/>
          </w:tcPr>
          <w:p>
            <w:pPr>
              <w:jc w:val="center"/>
              <w:rPr>
                <w:rFonts w:ascii="仿宋_GB2312" w:hAnsi="仿宋_GB2312" w:eastAsia="仿宋_GB2312" w:cs="仿宋_GB2312"/>
                <w:color w:val="auto"/>
                <w:sz w:val="22"/>
                <w:szCs w:val="22"/>
                <w:highlight w:val="none"/>
              </w:rPr>
            </w:pP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生料带</w:t>
            </w:r>
          </w:p>
        </w:tc>
        <w:tc>
          <w:tcPr>
            <w:tcW w:w="1250" w:type="pct"/>
            <w:vAlign w:val="center"/>
          </w:tcPr>
          <w:p>
            <w:pPr>
              <w:jc w:val="center"/>
              <w:rPr>
                <w:rFonts w:ascii="仿宋_GB2312" w:hAnsi="仿宋_GB2312" w:eastAsia="仿宋_GB2312" w:cs="仿宋_GB2312"/>
                <w:color w:val="auto"/>
                <w:sz w:val="22"/>
                <w:szCs w:val="22"/>
                <w:highlight w:val="none"/>
              </w:rPr>
            </w:pP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8</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延时器</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吉安DN20</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9</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大小头</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DN65及以下</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弯头</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DN65及以下</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11</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压力表</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红星牌1.6MPa</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12</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法兰盘</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DN100及以下</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13</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卡箍</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DN100及以下</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14</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压力开关</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吉安DN20</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15</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密封胶垫</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PC100及以下</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16</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水枪</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DN65</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17</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消火栓接扣</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DN65</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18</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烟感</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海湾同等品牌</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19</w:t>
            </w:r>
          </w:p>
        </w:tc>
        <w:tc>
          <w:tcPr>
            <w:tcW w:w="1249"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继电器</w:t>
            </w:r>
          </w:p>
        </w:tc>
        <w:tc>
          <w:tcPr>
            <w:tcW w:w="1250" w:type="pct"/>
            <w:vAlign w:val="center"/>
          </w:tcPr>
          <w:p>
            <w:pPr>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DC24V中间继电器</w:t>
            </w:r>
          </w:p>
        </w:tc>
        <w:tc>
          <w:tcPr>
            <w:tcW w:w="1250" w:type="pct"/>
            <w:vMerge w:val="continue"/>
            <w:vAlign w:val="center"/>
          </w:tcPr>
          <w:p>
            <w:pPr>
              <w:jc w:val="center"/>
              <w:rPr>
                <w:rFonts w:ascii="仿宋_GB2312" w:hAnsi="仿宋_GB2312" w:eastAsia="仿宋_GB2312" w:cs="仿宋_GB2312"/>
                <w:color w:val="auto"/>
                <w:sz w:val="22"/>
                <w:szCs w:val="22"/>
                <w:highlight w:val="none"/>
              </w:rPr>
            </w:pPr>
          </w:p>
        </w:tc>
      </w:tr>
    </w:tbl>
    <w:p>
      <w:pPr>
        <w:ind w:firstLine="5880" w:firstLineChars="2450"/>
        <w:outlineLvl w:val="9"/>
        <w:rPr>
          <w:rFonts w:ascii="宋体" w:hAnsi="宋体"/>
          <w:sz w:val="24"/>
          <w:highlight w:val="none"/>
        </w:rPr>
      </w:pPr>
      <w:r>
        <w:rPr>
          <w:rFonts w:hint="eastAsia" w:ascii="宋体" w:hAnsi="宋体"/>
          <w:sz w:val="24"/>
          <w:highlight w:val="none"/>
        </w:rPr>
        <w:t xml:space="preserve"> </w:t>
      </w:r>
    </w:p>
    <w:p>
      <w:pPr>
        <w:numPr>
          <w:ilvl w:val="0"/>
          <w:numId w:val="7"/>
        </w:numPr>
        <w:jc w:val="center"/>
        <w:outlineLvl w:val="9"/>
        <w:rPr>
          <w:rFonts w:hint="eastAsia" w:ascii="仿宋" w:hAnsi="仿宋" w:eastAsia="仿宋"/>
          <w:color w:val="auto"/>
          <w:kern w:val="0"/>
          <w:sz w:val="28"/>
          <w:szCs w:val="21"/>
          <w:highlight w:val="none"/>
        </w:rPr>
      </w:pPr>
      <w:r>
        <w:rPr>
          <w:rFonts w:hint="eastAsia" w:ascii="仿宋" w:hAnsi="仿宋" w:eastAsia="仿宋"/>
          <w:color w:val="auto"/>
          <w:kern w:val="0"/>
          <w:sz w:val="28"/>
          <w:szCs w:val="21"/>
          <w:highlight w:val="none"/>
        </w:rPr>
        <w:br w:type="page"/>
      </w:r>
    </w:p>
    <w:p>
      <w:pPr>
        <w:pStyle w:val="23"/>
        <w:ind w:firstLine="320"/>
        <w:jc w:val="center"/>
        <w:outlineLvl w:val="0"/>
        <w:rPr>
          <w:rFonts w:hint="default"/>
          <w:highlight w:val="none"/>
          <w:lang w:val="en-US" w:bidi="ar-SA"/>
        </w:rPr>
      </w:pPr>
      <w:bookmarkStart w:id="20" w:name="_Toc2670"/>
      <w:r>
        <w:rPr>
          <w:rFonts w:hint="eastAsia" w:ascii="仿宋" w:hAnsi="仿宋" w:eastAsia="仿宋"/>
          <w:b/>
          <w:bCs/>
          <w:color w:val="000000" w:themeColor="text1"/>
          <w:kern w:val="0"/>
          <w:sz w:val="44"/>
          <w:szCs w:val="44"/>
          <w:highlight w:val="none"/>
          <w:lang w:val="en-US" w:eastAsia="zh-CN"/>
          <w14:textFill>
            <w14:solidFill>
              <w14:schemeClr w14:val="tx1"/>
            </w14:solidFill>
          </w14:textFill>
        </w:rPr>
        <w:t>第三章  采购需求</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ascii="仿宋_GB2312" w:hAnsi="仿宋_GB2312" w:eastAsia="仿宋_GB2312" w:cs="仿宋_GB2312"/>
          <w:sz w:val="32"/>
          <w:szCs w:val="32"/>
          <w:highlight w:val="none"/>
        </w:rPr>
        <w:t>特别说明：此次</w:t>
      </w:r>
      <w:r>
        <w:rPr>
          <w:rFonts w:hint="eastAsia" w:ascii="仿宋_GB2312" w:hAnsi="仿宋_GB2312" w:eastAsia="仿宋_GB2312" w:cs="仿宋_GB2312"/>
          <w:sz w:val="32"/>
          <w:szCs w:val="32"/>
          <w:highlight w:val="none"/>
          <w:lang w:val="en-US" w:eastAsia="zh-CN"/>
        </w:rPr>
        <w:t>应急物资采购与消防器材维保</w:t>
      </w:r>
      <w:r>
        <w:rPr>
          <w:rFonts w:hint="eastAsia" w:ascii="仿宋_GB2312" w:hAnsi="仿宋_GB2312" w:eastAsia="仿宋_GB2312" w:cs="仿宋_GB2312"/>
          <w:sz w:val="32"/>
          <w:szCs w:val="32"/>
          <w:highlight w:val="none"/>
        </w:rPr>
        <w:t>招选以长沙城发</w:t>
      </w:r>
      <w:r>
        <w:rPr>
          <w:rFonts w:hint="eastAsia" w:ascii="仿宋_GB2312" w:hAnsi="仿宋_GB2312" w:eastAsia="仿宋_GB2312" w:cs="仿宋_GB2312"/>
          <w:sz w:val="32"/>
          <w:szCs w:val="32"/>
          <w:highlight w:val="none"/>
          <w:lang w:val="en-US" w:eastAsia="zh-CN"/>
        </w:rPr>
        <w:t>能源</w:t>
      </w:r>
      <w:r>
        <w:rPr>
          <w:rFonts w:hint="eastAsia" w:ascii="仿宋_GB2312" w:hAnsi="仿宋_GB2312" w:eastAsia="仿宋_GB2312" w:cs="仿宋_GB2312"/>
          <w:sz w:val="32"/>
          <w:szCs w:val="32"/>
          <w:highlight w:val="none"/>
        </w:rPr>
        <w:t>有限公司的名义统一招选，在签订具体合同时，合同签订主体</w:t>
      </w:r>
      <w:r>
        <w:rPr>
          <w:rFonts w:hint="eastAsia" w:ascii="仿宋_GB2312" w:hAnsi="仿宋_GB2312" w:eastAsia="仿宋_GB2312" w:cs="仿宋_GB2312"/>
          <w:sz w:val="32"/>
          <w:szCs w:val="32"/>
          <w:highlight w:val="none"/>
          <w:lang w:val="en-US" w:eastAsia="zh-CN"/>
        </w:rPr>
        <w:t>除长沙城发能源有限公司外，还需与能源公司下属子公司分别签订合同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子公司包括</w:t>
      </w:r>
      <w:r>
        <w:rPr>
          <w:rFonts w:hint="eastAsia" w:ascii="仿宋_GB2312" w:hAnsi="仿宋_GB2312" w:eastAsia="仿宋_GB2312" w:cs="仿宋_GB2312"/>
          <w:sz w:val="32"/>
          <w:szCs w:val="32"/>
          <w:highlight w:val="none"/>
          <w:u w:val="single"/>
          <w:lang w:val="en-US" w:eastAsia="zh-CN"/>
        </w:rPr>
        <w:t>长沙城投新中石化能源有限公司曙光路加油站</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u w:val="single"/>
          <w:lang w:val="en-US" w:eastAsia="zh-CN"/>
        </w:rPr>
        <w:t>长沙四方加油城有限责任公司</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u w:val="single"/>
          <w:lang w:val="en-US" w:eastAsia="zh-CN"/>
        </w:rPr>
        <w:t>长沙城通能源有限公司</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single"/>
          <w:lang w:val="en-US" w:eastAsia="zh-CN"/>
        </w:rPr>
        <w:t xml:space="preserve">长沙先导城市资源投资有限公司 </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合同签订</w:t>
      </w:r>
      <w:r>
        <w:rPr>
          <w:rFonts w:hint="eastAsia" w:ascii="仿宋_GB2312" w:hAnsi="仿宋_GB2312" w:eastAsia="仿宋_GB2312" w:cs="仿宋_GB2312"/>
          <w:sz w:val="32"/>
          <w:szCs w:val="32"/>
          <w:highlight w:val="none"/>
          <w:lang w:val="en-US" w:eastAsia="zh-CN"/>
        </w:rPr>
        <w:t>内容</w:t>
      </w:r>
      <w:r>
        <w:rPr>
          <w:rFonts w:hint="eastAsia" w:ascii="仿宋_GB2312" w:hAnsi="仿宋_GB2312" w:eastAsia="仿宋_GB2312" w:cs="仿宋_GB2312"/>
          <w:sz w:val="32"/>
          <w:szCs w:val="32"/>
          <w:highlight w:val="none"/>
        </w:rPr>
        <w:t>保持一致。</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color w:val="000000"/>
          <w:spacing w:val="12"/>
          <w:sz w:val="32"/>
          <w:szCs w:val="32"/>
          <w:highlight w:val="none"/>
          <w:shd w:val="clear" w:color="auto" w:fill="FFFFFF"/>
          <w:lang w:eastAsia="zh-CN"/>
        </w:rPr>
      </w:pPr>
      <w:r>
        <w:rPr>
          <w:rFonts w:hint="eastAsia" w:ascii="黑体" w:hAnsi="黑体" w:eastAsia="黑体" w:cs="黑体"/>
          <w:b/>
          <w:color w:val="000000"/>
          <w:spacing w:val="12"/>
          <w:sz w:val="32"/>
          <w:szCs w:val="32"/>
          <w:highlight w:val="none"/>
          <w:shd w:val="clear" w:color="auto" w:fill="FFFFFF"/>
          <w:lang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eastAsia" w:ascii="仿宋_GB2312" w:hAnsi="仿宋_GB2312" w:eastAsia="仿宋_GB2312" w:cs="仿宋_GB2312"/>
          <w:b/>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本合同</w:t>
      </w:r>
      <w:r>
        <w:rPr>
          <w:rFonts w:hint="eastAsia" w:ascii="仿宋_GB2312" w:hAnsi="仿宋_GB2312" w:eastAsia="仿宋_GB2312" w:cs="仿宋_GB2312"/>
          <w:bCs/>
          <w:color w:val="000000"/>
          <w:spacing w:val="12"/>
          <w:sz w:val="32"/>
          <w:szCs w:val="32"/>
          <w:highlight w:val="none"/>
          <w:shd w:val="clear" w:color="auto" w:fill="FFFFFF"/>
          <w:lang w:val="en-US" w:eastAsia="zh-CN"/>
        </w:rPr>
        <w:t>应急物资采购与消防器材维保范围包括两部分：对马栏山北区能源站进行每月一次建筑消防设施测试检查、消防系统年度检测和灭火器器维保为第一部分，提供对加油站应急物资采购清单中的项目进行维修、保养、购买服务为第二部分。</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1"/>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spacing w:line="360" w:lineRule="auto"/>
              <w:jc w:val="center"/>
              <w:rPr>
                <w:rFonts w:ascii="宋体" w:hAnsi="宋体"/>
                <w:highlight w:val="none"/>
              </w:rPr>
            </w:pPr>
            <w:r>
              <w:rPr>
                <w:rFonts w:hint="eastAsia" w:ascii="宋体" w:hAnsi="宋体"/>
                <w:highlight w:val="none"/>
              </w:rPr>
              <w:t>项目名称</w:t>
            </w:r>
          </w:p>
        </w:tc>
        <w:tc>
          <w:tcPr>
            <w:tcW w:w="2959" w:type="pct"/>
            <w:noWrap w:val="0"/>
            <w:vAlign w:val="center"/>
          </w:tcPr>
          <w:p>
            <w:pPr>
              <w:spacing w:line="360" w:lineRule="auto"/>
              <w:jc w:val="center"/>
              <w:rPr>
                <w:rFonts w:ascii="宋体" w:hAnsi="宋体"/>
                <w:highlight w:val="none"/>
              </w:rPr>
            </w:pPr>
            <w:r>
              <w:rPr>
                <w:rFonts w:hint="eastAsia" w:ascii="宋体" w:hAnsi="宋体"/>
                <w:highlight w:val="none"/>
              </w:rPr>
              <w:t>项目地址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spacing w:line="360" w:lineRule="auto"/>
              <w:jc w:val="center"/>
              <w:rPr>
                <w:rFonts w:hint="default" w:ascii="宋体" w:hAnsi="宋体" w:eastAsia="宋体"/>
                <w:highlight w:val="none"/>
                <w:lang w:val="en-US" w:eastAsia="zh-CN"/>
              </w:rPr>
            </w:pPr>
            <w:r>
              <w:rPr>
                <w:rFonts w:hint="eastAsia" w:ascii="宋体" w:hAnsi="宋体"/>
                <w:highlight w:val="none"/>
                <w:lang w:val="en-US" w:eastAsia="zh-CN"/>
              </w:rPr>
              <w:t>马栏山北区能源站</w:t>
            </w:r>
          </w:p>
        </w:tc>
        <w:tc>
          <w:tcPr>
            <w:tcW w:w="2959" w:type="pct"/>
            <w:noWrap w:val="0"/>
            <w:vAlign w:val="center"/>
          </w:tcPr>
          <w:p>
            <w:pPr>
              <w:spacing w:line="360" w:lineRule="auto"/>
              <w:jc w:val="center"/>
              <w:rPr>
                <w:rFonts w:ascii="宋体" w:hAnsi="宋体"/>
                <w:highlight w:val="none"/>
              </w:rPr>
            </w:pPr>
            <w:r>
              <w:rPr>
                <w:rFonts w:hint="eastAsia" w:ascii="宋体" w:hAnsi="宋体"/>
                <w:highlight w:val="none"/>
              </w:rPr>
              <w:t>长沙市开福区马栏山视频文创产业园滨河路北路301号（月湖街道办事处旁）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spacing w:line="360" w:lineRule="auto"/>
              <w:jc w:val="center"/>
              <w:rPr>
                <w:rFonts w:hint="eastAsia" w:ascii="宋体" w:hAnsi="宋体"/>
                <w:highlight w:val="none"/>
              </w:rPr>
            </w:pPr>
            <w:r>
              <w:rPr>
                <w:rFonts w:hint="eastAsia" w:ascii="宋体" w:hAnsi="宋体"/>
                <w:highlight w:val="none"/>
              </w:rPr>
              <w:t>南二环加油站</w:t>
            </w:r>
          </w:p>
        </w:tc>
        <w:tc>
          <w:tcPr>
            <w:tcW w:w="2959" w:type="pct"/>
            <w:noWrap w:val="0"/>
            <w:vAlign w:val="center"/>
          </w:tcPr>
          <w:p>
            <w:pPr>
              <w:spacing w:line="360" w:lineRule="auto"/>
              <w:jc w:val="center"/>
              <w:rPr>
                <w:rFonts w:hint="eastAsia" w:ascii="宋体" w:hAnsi="宋体"/>
                <w:highlight w:val="none"/>
              </w:rPr>
            </w:pPr>
            <w:r>
              <w:rPr>
                <w:rFonts w:hint="eastAsia" w:ascii="宋体" w:hAnsi="宋体"/>
                <w:highlight w:val="none"/>
              </w:rPr>
              <w:t>长沙市天心区南环二段481号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丽江路加油站</w:t>
            </w:r>
          </w:p>
        </w:tc>
        <w:tc>
          <w:tcPr>
            <w:tcW w:w="2959" w:type="pct"/>
            <w:noWrap w:val="0"/>
            <w:vAlign w:val="center"/>
          </w:tcPr>
          <w:p>
            <w:pPr>
              <w:keepNext w:val="0"/>
              <w:keepLines w:val="0"/>
              <w:widowControl/>
              <w:suppressLineNumbers w:val="0"/>
              <w:jc w:val="center"/>
              <w:textAlignment w:val="center"/>
              <w:rPr>
                <w:rFonts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长沙市天心区湘江南路57号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湘府东路加油站</w:t>
            </w:r>
          </w:p>
        </w:tc>
        <w:tc>
          <w:tcPr>
            <w:tcW w:w="2959" w:type="pct"/>
            <w:noWrap w:val="0"/>
            <w:vAlign w:val="center"/>
          </w:tcPr>
          <w:p>
            <w:pPr>
              <w:keepNext w:val="0"/>
              <w:keepLines w:val="0"/>
              <w:widowControl/>
              <w:suppressLineNumbers w:val="0"/>
              <w:jc w:val="center"/>
              <w:textAlignment w:val="center"/>
              <w:rPr>
                <w:rFonts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长沙市雨花区湘府东路一段950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光达加油站</w:t>
            </w:r>
          </w:p>
        </w:tc>
        <w:tc>
          <w:tcPr>
            <w:tcW w:w="2959"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长沙市长沙县黄兴镇黄塘路56号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体育新城加油站</w:t>
            </w:r>
          </w:p>
        </w:tc>
        <w:tc>
          <w:tcPr>
            <w:tcW w:w="2959"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长沙市雨花区沙湾路300号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color w:val="auto"/>
                <w:highlight w:val="none"/>
              </w:rPr>
            </w:pPr>
            <w:r>
              <w:rPr>
                <w:rFonts w:hint="eastAsia" w:ascii="宋体" w:hAnsi="宋体" w:eastAsia="宋体" w:cs="宋体"/>
                <w:i w:val="0"/>
                <w:iCs w:val="0"/>
                <w:color w:val="auto"/>
                <w:kern w:val="0"/>
                <w:sz w:val="22"/>
                <w:szCs w:val="22"/>
                <w:highlight w:val="none"/>
                <w:u w:val="none"/>
                <w:lang w:val="en-US" w:eastAsia="zh-CN" w:bidi="ar"/>
              </w:rPr>
              <w:t>曙光路加油站</w:t>
            </w:r>
          </w:p>
        </w:tc>
        <w:tc>
          <w:tcPr>
            <w:tcW w:w="2959" w:type="pct"/>
            <w:noWrap w:val="0"/>
            <w:vAlign w:val="center"/>
          </w:tcPr>
          <w:p>
            <w:pPr>
              <w:keepNext w:val="0"/>
              <w:keepLines w:val="0"/>
              <w:widowControl/>
              <w:suppressLineNumbers w:val="0"/>
              <w:jc w:val="center"/>
              <w:textAlignment w:val="center"/>
              <w:rPr>
                <w:rFonts w:ascii="宋体" w:hAnsi="宋体"/>
                <w:color w:val="auto"/>
                <w:highlight w:val="none"/>
              </w:rPr>
            </w:pPr>
            <w:r>
              <w:rPr>
                <w:rFonts w:hint="eastAsia" w:ascii="宋体" w:hAnsi="宋体" w:eastAsia="宋体" w:cs="宋体"/>
                <w:i w:val="0"/>
                <w:iCs w:val="0"/>
                <w:color w:val="auto"/>
                <w:kern w:val="0"/>
                <w:sz w:val="22"/>
                <w:szCs w:val="22"/>
                <w:highlight w:val="none"/>
                <w:u w:val="none"/>
                <w:lang w:val="en-US" w:eastAsia="zh-CN" w:bidi="ar"/>
              </w:rPr>
              <w:t>长沙市雨花区曙光中路48号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四方加油城</w:t>
            </w:r>
          </w:p>
        </w:tc>
        <w:tc>
          <w:tcPr>
            <w:tcW w:w="2959" w:type="pct"/>
            <w:noWrap w:val="0"/>
            <w:vAlign w:val="center"/>
          </w:tcPr>
          <w:p>
            <w:pPr>
              <w:keepNext w:val="0"/>
              <w:keepLines w:val="0"/>
              <w:widowControl/>
              <w:suppressLineNumbers w:val="0"/>
              <w:jc w:val="center"/>
              <w:textAlignment w:val="center"/>
              <w:rPr>
                <w:rFonts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长沙市开福区三一大道412号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七家湖加油站</w:t>
            </w:r>
          </w:p>
        </w:tc>
        <w:tc>
          <w:tcPr>
            <w:tcW w:w="2959"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长沙市开福区湘江北路一段500号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汤家湖加油站</w:t>
            </w:r>
          </w:p>
        </w:tc>
        <w:tc>
          <w:tcPr>
            <w:tcW w:w="2959"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长沙市开福区汤家湖路与华宁路交叉口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沙坪加油站</w:t>
            </w:r>
          </w:p>
        </w:tc>
        <w:tc>
          <w:tcPr>
            <w:tcW w:w="2959"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长沙市开福区青竹湖路1513号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易家塘加油站</w:t>
            </w:r>
          </w:p>
        </w:tc>
        <w:tc>
          <w:tcPr>
            <w:tcW w:w="2959"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长沙市岳麓区长兴路53号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栖才路加油站</w:t>
            </w:r>
          </w:p>
        </w:tc>
        <w:tc>
          <w:tcPr>
            <w:tcW w:w="2959"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长沙市高新区栖才路和文轩路交叉口西北角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中青路东加油站</w:t>
            </w:r>
          </w:p>
        </w:tc>
        <w:tc>
          <w:tcPr>
            <w:tcW w:w="2959" w:type="pct"/>
            <w:noWrap w:val="0"/>
            <w:vAlign w:val="center"/>
          </w:tcPr>
          <w:p>
            <w:pPr>
              <w:keepNext w:val="0"/>
              <w:keepLines w:val="0"/>
              <w:widowControl/>
              <w:suppressLineNumbers w:val="0"/>
              <w:jc w:val="center"/>
              <w:textAlignment w:val="center"/>
              <w:rPr>
                <w:rFonts w:hint="eastAsia"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长沙市开福区中青路道路东侧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路丝塘加油站</w:t>
            </w:r>
          </w:p>
        </w:tc>
        <w:tc>
          <w:tcPr>
            <w:tcW w:w="295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长沙市开福区青竹湖路与天井路交汇处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马栏山加油站</w:t>
            </w:r>
          </w:p>
        </w:tc>
        <w:tc>
          <w:tcPr>
            <w:tcW w:w="295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长沙市开福区金马路与鸭子铺东路交汇处东北角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其它在建项目</w:t>
            </w:r>
          </w:p>
        </w:tc>
        <w:tc>
          <w:tcPr>
            <w:tcW w:w="2959"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长沙市内，具体以甲方通知为准</w:t>
            </w:r>
          </w:p>
        </w:tc>
      </w:tr>
    </w:tbl>
    <w:p>
      <w:pPr>
        <w:pStyle w:val="22"/>
        <w:keepNext w:val="0"/>
        <w:keepLines w:val="0"/>
        <w:pageBreakBefore w:val="0"/>
        <w:widowControl w:val="0"/>
        <w:numPr>
          <w:ilvl w:val="0"/>
          <w:numId w:val="8"/>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color w:val="000000"/>
          <w:spacing w:val="12"/>
          <w:sz w:val="32"/>
          <w:szCs w:val="32"/>
          <w:highlight w:val="none"/>
          <w:shd w:val="clear" w:color="auto" w:fill="FFFFFF"/>
          <w:lang w:eastAsia="zh-CN"/>
        </w:rPr>
      </w:pPr>
      <w:r>
        <w:rPr>
          <w:rFonts w:hint="eastAsia" w:ascii="黑体" w:hAnsi="黑体" w:eastAsia="黑体" w:cs="黑体"/>
          <w:b/>
          <w:color w:val="000000"/>
          <w:spacing w:val="12"/>
          <w:sz w:val="32"/>
          <w:szCs w:val="32"/>
          <w:highlight w:val="none"/>
          <w:shd w:val="clear" w:color="auto" w:fill="FFFFFF"/>
          <w:lang w:val="en-US" w:eastAsia="zh-CN"/>
        </w:rPr>
        <w:t xml:space="preserve"> </w:t>
      </w:r>
      <w:r>
        <w:rPr>
          <w:rFonts w:hint="eastAsia" w:ascii="黑体" w:hAnsi="黑体" w:eastAsia="黑体" w:cs="黑体"/>
          <w:b/>
          <w:color w:val="000000"/>
          <w:spacing w:val="12"/>
          <w:sz w:val="32"/>
          <w:szCs w:val="32"/>
          <w:highlight w:val="none"/>
          <w:shd w:val="clear" w:color="auto" w:fill="FFFFFF"/>
          <w:lang w:eastAsia="zh-CN"/>
        </w:rPr>
        <w:t>消防系统检测、维修、保养外委服务项目</w:t>
      </w:r>
    </w:p>
    <w:p>
      <w:pPr>
        <w:pStyle w:val="22"/>
        <w:keepNext w:val="0"/>
        <w:keepLines w:val="0"/>
        <w:pageBreakBefore w:val="0"/>
        <w:widowControl w:val="0"/>
        <w:numPr>
          <w:ilvl w:val="0"/>
          <w:numId w:val="9"/>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2"/>
          <w:sz w:val="32"/>
          <w:szCs w:val="32"/>
          <w:highlight w:val="none"/>
          <w:lang w:eastAsia="zh-CN" w:bidi="ar-SA"/>
        </w:rPr>
      </w:pPr>
      <w:r>
        <w:rPr>
          <w:rFonts w:hint="eastAsia" w:ascii="仿宋_GB2312" w:hAnsi="仿宋_GB2312" w:eastAsia="仿宋_GB2312" w:cs="仿宋_GB2312"/>
          <w:kern w:val="2"/>
          <w:sz w:val="32"/>
          <w:szCs w:val="32"/>
          <w:highlight w:val="none"/>
          <w:lang w:eastAsia="zh-CN" w:bidi="ar-SA"/>
        </w:rPr>
        <w:t>负责包括但不限于</w:t>
      </w:r>
      <w:r>
        <w:rPr>
          <w:rFonts w:hint="eastAsia" w:ascii="仿宋_GB2312" w:hAnsi="仿宋_GB2312" w:eastAsia="仿宋_GB2312" w:cs="仿宋_GB2312"/>
          <w:kern w:val="2"/>
          <w:sz w:val="32"/>
          <w:szCs w:val="32"/>
          <w:highlight w:val="none"/>
          <w:lang w:val="en-US" w:eastAsia="zh-CN" w:bidi="ar-SA"/>
        </w:rPr>
        <w:t>马栏山北区能源站</w:t>
      </w:r>
      <w:r>
        <w:rPr>
          <w:rFonts w:hint="eastAsia" w:ascii="仿宋_GB2312" w:hAnsi="仿宋_GB2312" w:eastAsia="仿宋_GB2312" w:cs="仿宋_GB2312"/>
          <w:kern w:val="2"/>
          <w:sz w:val="32"/>
          <w:szCs w:val="32"/>
          <w:highlight w:val="none"/>
          <w:lang w:eastAsia="zh-CN" w:bidi="ar-SA"/>
        </w:rPr>
        <w:t>火灾自动报警联动控制系统、自动喷淋灭火系统、消火栓灭火系统（室外消火栓、室内消火栓）、气体灭火系统、防排烟系统、由防火卷帘和防火门等设施组成的防火分隔系统、由挡烟垂壁和防火封堵等设施组成的防烟分隔系统、电气火灾监控系统、防火门监控系统、消防设备电源监控系统、应急照明与疏散指示系统、消防电话与消防广播系统、消防水泵（含稳压泵）控制柜、消防水泵巡检柜、防排烟风机控制柜等设施设备组成的消防系统检测、维修、保养工作。</w:t>
      </w:r>
    </w:p>
    <w:p>
      <w:pPr>
        <w:pStyle w:val="22"/>
        <w:keepNext w:val="0"/>
        <w:keepLines w:val="0"/>
        <w:pageBreakBefore w:val="0"/>
        <w:widowControl w:val="0"/>
        <w:numPr>
          <w:ilvl w:val="0"/>
          <w:numId w:val="9"/>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负责包括但不限于南二环、丽江路、湘府东路、光达、体育新城、曙光路、马栏山、四方城、栖才路、易家塘、七家湖、汤家湖、路丝塘、沙坪、中青路东加油站灭火器质保期内维修、换粉和质保期外新购换新工作，以及消防设备设施的维护保养换新工作。</w:t>
      </w:r>
    </w:p>
    <w:p>
      <w:pPr>
        <w:pStyle w:val="22"/>
        <w:keepNext w:val="0"/>
        <w:keepLines w:val="0"/>
        <w:pageBreakBefore w:val="0"/>
        <w:widowControl w:val="0"/>
        <w:numPr>
          <w:ilvl w:val="0"/>
          <w:numId w:val="10"/>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color w:val="000000"/>
          <w:spacing w:val="12"/>
          <w:sz w:val="32"/>
          <w:szCs w:val="32"/>
          <w:highlight w:val="none"/>
          <w:shd w:val="clear" w:color="auto" w:fill="FFFFFF"/>
          <w:lang w:eastAsia="zh-CN"/>
        </w:rPr>
      </w:pPr>
      <w:r>
        <w:rPr>
          <w:rFonts w:hint="eastAsia" w:ascii="黑体" w:hAnsi="黑体" w:eastAsia="黑体" w:cs="黑体"/>
          <w:b/>
          <w:color w:val="000000"/>
          <w:spacing w:val="12"/>
          <w:sz w:val="32"/>
          <w:szCs w:val="32"/>
          <w:highlight w:val="none"/>
          <w:shd w:val="clear" w:color="auto" w:fill="FFFFFF"/>
          <w:lang w:eastAsia="zh-CN"/>
        </w:rPr>
        <w:t>消防系统检测、维修、保养外委服务项目招标要求及服务需求</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本合同约定服务内容：</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1.中标单位应严格按照《建筑消防设施的维护管理  GB25201-2010》《</w:t>
      </w:r>
      <w:r>
        <w:rPr>
          <w:rFonts w:hint="eastAsia" w:ascii="仿宋_GB2312" w:hAnsi="仿宋_GB2312" w:eastAsia="仿宋_GB2312" w:cs="仿宋_GB2312"/>
          <w:bCs/>
          <w:color w:val="000000"/>
          <w:spacing w:val="12"/>
          <w:sz w:val="32"/>
          <w:szCs w:val="32"/>
          <w:highlight w:val="none"/>
          <w:shd w:val="clear" w:color="auto" w:fill="FFFFFF"/>
          <w:lang w:val="en-US" w:eastAsia="zh-CN"/>
        </w:rPr>
        <w:t>汽车加油加气加氢站技术标准GB50156-2021》</w:t>
      </w:r>
      <w:r>
        <w:rPr>
          <w:rFonts w:hint="eastAsia" w:ascii="仿宋_GB2312" w:hAnsi="仿宋_GB2312" w:eastAsia="仿宋_GB2312" w:cs="仿宋_GB2312"/>
          <w:bCs/>
          <w:color w:val="000000"/>
          <w:spacing w:val="12"/>
          <w:sz w:val="32"/>
          <w:szCs w:val="32"/>
          <w:highlight w:val="none"/>
          <w:shd w:val="clear" w:color="auto" w:fill="FFFFFF"/>
          <w:lang w:eastAsia="zh-CN"/>
        </w:rPr>
        <w:t>相关规定进行消防系统维护管理，中标单位负责检测、维修、保养工作。</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2.中标单位应制定消防系统检测、维修、保养工作计划，对合同区域内消防设施设备在合同期限内检测一次，检测对象合同区域内全部消防系统设备、组件等。本合同生效后15日内向招标单位提交合同期限内消防设施设备检测、保养工作计划，经招标单位书面确认后执行。中标单位应按工作计划开展消防设施设备检测、保养工作，如实填写检测记录表格，由招标单位项目消防主管审核、项目工程负责人及项目负责人签字确认后，作为每周期结款资料提交。</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3.中标单位负责合同区域内消防设施设备检测包括：消防供配电设施检测、火灾自动报警系统检测、消防供水设施检测、消火栓（消防炮）灭火系统检测、自动喷水灭火系统检测、泡沫灭火系统检测、气体灭火系统检测、防烟系统检测、排烟系统检测、应急照明与疏散指示系统检测、应急广播系统检测、消防专用电话检测、防火分隔设施检测、消防电梯检测、电气火灾监控系统检测、防火门监控系统检测、消防设备电源监控系统检测其它系统检测</w:t>
      </w:r>
      <w:r>
        <w:rPr>
          <w:rFonts w:hint="eastAsia" w:ascii="仿宋_GB2312" w:hAnsi="仿宋_GB2312" w:eastAsia="仿宋_GB2312" w:cs="仿宋_GB2312"/>
          <w:bCs/>
          <w:color w:val="000000"/>
          <w:spacing w:val="12"/>
          <w:sz w:val="32"/>
          <w:szCs w:val="32"/>
          <w:highlight w:val="none"/>
          <w:shd w:val="clear" w:color="auto" w:fill="FFFFFF"/>
          <w:lang w:val="en-US" w:eastAsia="zh-CN"/>
        </w:rPr>
        <w:t>和加油站灭火器和消防设备维保</w:t>
      </w:r>
      <w:r>
        <w:rPr>
          <w:rFonts w:hint="eastAsia" w:ascii="仿宋_GB2312" w:hAnsi="仿宋_GB2312" w:eastAsia="仿宋_GB2312" w:cs="仿宋_GB2312"/>
          <w:bCs/>
          <w:color w:val="000000"/>
          <w:spacing w:val="12"/>
          <w:sz w:val="32"/>
          <w:szCs w:val="32"/>
          <w:highlight w:val="none"/>
          <w:shd w:val="clear" w:color="auto" w:fill="FFFFFF"/>
          <w:lang w:eastAsia="zh-CN"/>
        </w:rPr>
        <w:t>。</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4.中标单位在检测与消防报警联动控制设备有联系的相关设施设备时，应打印消防报警联动控制设备报警、监管、动作、反馈信息凭条，作为检测及结算依据。</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5.中标单位在检测与消防报警联动控制设备无联系的相关设施设备时，应通知招标单位派人现场监督、拍照、记录、签字、存档，作为检测及结算依据。</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6.中标单位应在合同截止日到期前3个月内，组织一次合同区域全覆盖的消防系统联动检测，联动测试期间要通知招标单位派人现场监督、拍照、记录、签字、存档，作为检测及结算依据。</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7.在重大节日、重大活动、重要接待前或期间，中标单位应根据政府职能部门、集团及公司的要求对合同区域内消防</w:t>
      </w:r>
      <w:r>
        <w:rPr>
          <w:rFonts w:hint="eastAsia" w:ascii="仿宋_GB2312" w:hAnsi="仿宋_GB2312" w:eastAsia="仿宋_GB2312" w:cs="仿宋_GB2312"/>
          <w:bCs/>
          <w:color w:val="000000"/>
          <w:spacing w:val="12"/>
          <w:sz w:val="32"/>
          <w:szCs w:val="32"/>
          <w:highlight w:val="none"/>
          <w:shd w:val="clear" w:color="auto" w:fill="FFFFFF"/>
          <w:lang w:val="en-US" w:eastAsia="zh-CN"/>
        </w:rPr>
        <w:t>设备</w:t>
      </w:r>
      <w:r>
        <w:rPr>
          <w:rFonts w:hint="eastAsia" w:ascii="仿宋_GB2312" w:hAnsi="仿宋_GB2312" w:eastAsia="仿宋_GB2312" w:cs="仿宋_GB2312"/>
          <w:bCs/>
          <w:color w:val="000000"/>
          <w:spacing w:val="12"/>
          <w:sz w:val="32"/>
          <w:szCs w:val="32"/>
          <w:highlight w:val="none"/>
          <w:shd w:val="clear" w:color="auto" w:fill="FFFFFF"/>
          <w:lang w:eastAsia="zh-CN"/>
        </w:rPr>
        <w:t>设施进行检查，确保消防系统安全可靠运行，必要时要服从招标单位管理，安排专人值班值守。</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8.中标单位应全程参与招标单位组织的消防综合演练，应配合招标单位紧急处置演练预演时发现的设施设备问题，有义务帮助招标单位提升突发事件应急处置能力提供技术支援与指导。</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val="en-US"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9.中标单位应对合同区域内全部消防系统设备、组件的故障，在更换的材料、元器件、配件齐全的前提下，及时修复到位（不超过24小时，超过24小时需向招标单位报备，同意后实施），保持消防系统完好有效，在准火灾状态下正常运行，发挥作用。维修中更换的材料、元器件、配件费用（</w:t>
      </w:r>
      <w:r>
        <w:rPr>
          <w:rFonts w:hint="eastAsia" w:ascii="仿宋_GB2312" w:hAnsi="仿宋_GB2312" w:eastAsia="仿宋_GB2312" w:cs="仿宋_GB2312"/>
          <w:bCs/>
          <w:color w:val="000000"/>
          <w:spacing w:val="12"/>
          <w:sz w:val="32"/>
          <w:szCs w:val="32"/>
          <w:highlight w:val="none"/>
          <w:shd w:val="clear" w:color="auto" w:fill="FFFFFF"/>
          <w:lang w:val="en-US" w:eastAsia="zh-CN"/>
        </w:rPr>
        <w:t>超过100元设备</w:t>
      </w:r>
      <w:r>
        <w:rPr>
          <w:rFonts w:hint="eastAsia" w:ascii="仿宋_GB2312" w:hAnsi="仿宋_GB2312" w:eastAsia="仿宋_GB2312" w:cs="仿宋_GB2312"/>
          <w:bCs/>
          <w:color w:val="000000"/>
          <w:spacing w:val="12"/>
          <w:sz w:val="32"/>
          <w:szCs w:val="32"/>
          <w:highlight w:val="none"/>
          <w:shd w:val="clear" w:color="auto" w:fill="FFFFFF"/>
          <w:lang w:eastAsia="zh-CN"/>
        </w:rPr>
        <w:t>）由招标单位负责提供，辅助类材料（含单个配件不超过</w:t>
      </w:r>
      <w:r>
        <w:rPr>
          <w:rFonts w:hint="eastAsia" w:ascii="仿宋_GB2312" w:hAnsi="仿宋_GB2312" w:eastAsia="仿宋_GB2312" w:cs="仿宋_GB2312"/>
          <w:bCs/>
          <w:color w:val="000000"/>
          <w:spacing w:val="12"/>
          <w:sz w:val="32"/>
          <w:szCs w:val="32"/>
          <w:highlight w:val="none"/>
          <w:shd w:val="clear" w:color="auto" w:fill="FFFFFF"/>
          <w:lang w:val="en-US" w:eastAsia="zh-CN"/>
        </w:rPr>
        <w:t>100元设备</w:t>
      </w:r>
      <w:r>
        <w:rPr>
          <w:rFonts w:hint="eastAsia" w:ascii="仿宋_GB2312" w:hAnsi="仿宋_GB2312" w:eastAsia="仿宋_GB2312" w:cs="仿宋_GB2312"/>
          <w:bCs/>
          <w:color w:val="000000"/>
          <w:spacing w:val="12"/>
          <w:sz w:val="32"/>
          <w:szCs w:val="32"/>
          <w:highlight w:val="none"/>
          <w:shd w:val="clear" w:color="auto" w:fill="FFFFFF"/>
          <w:lang w:eastAsia="zh-CN"/>
        </w:rPr>
        <w:t>更换）及人工费由中标单位负责提供。</w:t>
      </w:r>
      <w:r>
        <w:rPr>
          <w:rFonts w:hint="eastAsia" w:ascii="仿宋_GB2312" w:hAnsi="仿宋_GB2312" w:eastAsia="仿宋_GB2312" w:cs="仿宋_GB2312"/>
          <w:bCs/>
          <w:color w:val="000000"/>
          <w:spacing w:val="12"/>
          <w:sz w:val="32"/>
          <w:szCs w:val="32"/>
          <w:highlight w:val="none"/>
          <w:shd w:val="clear" w:color="auto" w:fill="FFFFFF"/>
          <w:lang w:val="en-US" w:eastAsia="zh-CN"/>
        </w:rPr>
        <w:t>加油站消防设施维护保养，灭火器新购据实结算。</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10.合同区域内全部消防系统设备、组件的故障维修采取派工单制管理（详见附件7）。无论日常巡视巡查、各种类型的检查，还是设施设备检测过程中发现的故障，均汇报至招标单位消防主管，审核同意后打印维修单据。中标单位接单维修，维修单据一式三联，签字确认联招标单位消防主管保存，复印联交消控室保存一份，另一份中标单位保存，作为维修凭证结算时提交。</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11.中标单位接到保修单后应迅速响应，30分钟内到达现场处理，一般故障现场及时处理，2小时内恢复正常。重大故障24小时内予以解决，24小时内不能解决的，要及时上报招标单位，并配合招标单位项目做好有效的防范措施，在招标单位限定期限内解决。</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12.中标单位不应擅自关停消防设施，因故障维修等原因需要暂时停用消防系统时，应有确保消防安全的有效措施，并经招标单位项目负责人批准同意。中标单位在未征得招标单位同意，不准许私自对合同区域内消防设施设备进行拆除、更换、替换。</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13.中标单位有义务和责任在合同区域内消防系统出现突发重大故障或意外损坏严重的情况下，提供紧急救援应急抢险技术支援服务</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14.无论何种原因引发喷淋管道、消火栓管道漏水事故，招标单位在与中标单位联系确认后15分钟内，中标单位必须派员到现场进行紧急泄水处理，24小时内修复漏水，因此产生的更换的材料、元器件、配件费用、辅助类材料及人工费等所有费用均由中标单位承担。</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1</w:t>
      </w:r>
      <w:r>
        <w:rPr>
          <w:rFonts w:hint="eastAsia" w:ascii="仿宋_GB2312" w:hAnsi="仿宋_GB2312" w:eastAsia="仿宋_GB2312" w:cs="仿宋_GB2312"/>
          <w:bCs/>
          <w:color w:val="000000"/>
          <w:spacing w:val="12"/>
          <w:sz w:val="32"/>
          <w:szCs w:val="32"/>
          <w:highlight w:val="none"/>
          <w:shd w:val="clear" w:color="auto" w:fill="FFFFFF"/>
          <w:lang w:val="en-US" w:eastAsia="zh-CN"/>
        </w:rPr>
        <w:t>5</w:t>
      </w:r>
      <w:r>
        <w:rPr>
          <w:rFonts w:hint="eastAsia" w:ascii="仿宋_GB2312" w:hAnsi="仿宋_GB2312" w:eastAsia="仿宋_GB2312" w:cs="仿宋_GB2312"/>
          <w:bCs/>
          <w:color w:val="000000"/>
          <w:spacing w:val="12"/>
          <w:sz w:val="32"/>
          <w:szCs w:val="32"/>
          <w:highlight w:val="none"/>
          <w:shd w:val="clear" w:color="auto" w:fill="FFFFFF"/>
          <w:lang w:eastAsia="zh-CN"/>
        </w:rPr>
        <w:t>.中标单位有义务根据招标单位的要求对招标单位义务消防队人员、消防专员进行器材维护及设备使用的培训与技术咨询服务，并协助做好消防安全知识的宣传工作，具体时间及内容由双方视具体情况友好协商确定。</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1</w:t>
      </w:r>
      <w:r>
        <w:rPr>
          <w:rFonts w:hint="eastAsia" w:ascii="仿宋_GB2312" w:hAnsi="仿宋_GB2312" w:eastAsia="仿宋_GB2312" w:cs="仿宋_GB2312"/>
          <w:bCs/>
          <w:color w:val="000000"/>
          <w:spacing w:val="12"/>
          <w:sz w:val="32"/>
          <w:szCs w:val="32"/>
          <w:highlight w:val="none"/>
          <w:shd w:val="clear" w:color="auto" w:fill="FFFFFF"/>
          <w:lang w:val="en-US" w:eastAsia="zh-CN"/>
        </w:rPr>
        <w:t>6</w:t>
      </w:r>
      <w:r>
        <w:rPr>
          <w:rFonts w:hint="eastAsia" w:ascii="仿宋_GB2312" w:hAnsi="仿宋_GB2312" w:eastAsia="仿宋_GB2312" w:cs="仿宋_GB2312"/>
          <w:bCs/>
          <w:color w:val="000000"/>
          <w:spacing w:val="12"/>
          <w:sz w:val="32"/>
          <w:szCs w:val="32"/>
          <w:highlight w:val="none"/>
          <w:shd w:val="clear" w:color="auto" w:fill="FFFFFF"/>
          <w:lang w:eastAsia="zh-CN"/>
        </w:rPr>
        <w:t>.中标单位应对易污染、易腐蚀生锈的消防设备、管道、阀门定期清洁、除锈、注润滑剂。</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1</w:t>
      </w:r>
      <w:r>
        <w:rPr>
          <w:rFonts w:hint="eastAsia" w:ascii="仿宋_GB2312" w:hAnsi="仿宋_GB2312" w:eastAsia="仿宋_GB2312" w:cs="仿宋_GB2312"/>
          <w:bCs/>
          <w:color w:val="000000"/>
          <w:spacing w:val="12"/>
          <w:sz w:val="32"/>
          <w:szCs w:val="32"/>
          <w:highlight w:val="none"/>
          <w:shd w:val="clear" w:color="auto" w:fill="FFFFFF"/>
          <w:lang w:val="en-US" w:eastAsia="zh-CN"/>
        </w:rPr>
        <w:t>7</w:t>
      </w:r>
      <w:r>
        <w:rPr>
          <w:rFonts w:hint="eastAsia" w:ascii="仿宋_GB2312" w:hAnsi="仿宋_GB2312" w:eastAsia="仿宋_GB2312" w:cs="仿宋_GB2312"/>
          <w:bCs/>
          <w:color w:val="000000"/>
          <w:spacing w:val="12"/>
          <w:sz w:val="32"/>
          <w:szCs w:val="32"/>
          <w:highlight w:val="none"/>
          <w:shd w:val="clear" w:color="auto" w:fill="FFFFFF"/>
          <w:lang w:eastAsia="zh-CN"/>
        </w:rPr>
        <w:t>.中标单位应对点型感烟探测器、点型感温探测器、报警按钮、模块根据产品说明书的要求定期拆装清洗。拆装清洗要求为设备外观不能有明显污渍或明显影响使用情况。</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eastAsia="zh-CN"/>
        </w:rPr>
        <w:t>1</w:t>
      </w:r>
      <w:r>
        <w:rPr>
          <w:rFonts w:hint="eastAsia" w:ascii="仿宋_GB2312" w:hAnsi="仿宋_GB2312" w:eastAsia="仿宋_GB2312" w:cs="仿宋_GB2312"/>
          <w:bCs/>
          <w:color w:val="000000"/>
          <w:spacing w:val="12"/>
          <w:sz w:val="32"/>
          <w:szCs w:val="32"/>
          <w:highlight w:val="none"/>
          <w:shd w:val="clear" w:color="auto" w:fill="FFFFFF"/>
          <w:lang w:val="en-US" w:eastAsia="zh-CN"/>
        </w:rPr>
        <w:t>8</w:t>
      </w:r>
      <w:r>
        <w:rPr>
          <w:rFonts w:hint="eastAsia" w:ascii="仿宋_GB2312" w:hAnsi="仿宋_GB2312" w:eastAsia="仿宋_GB2312" w:cs="仿宋_GB2312"/>
          <w:bCs/>
          <w:color w:val="000000"/>
          <w:spacing w:val="12"/>
          <w:sz w:val="32"/>
          <w:szCs w:val="32"/>
          <w:highlight w:val="none"/>
          <w:shd w:val="clear" w:color="auto" w:fill="FFFFFF"/>
          <w:lang w:eastAsia="zh-CN"/>
        </w:rPr>
        <w:t>.中标单位应对储存灭火剂和驱动气体的压力容器进行称重和外观检测，并有义务配合招标单位按有关气瓶安全监察规程的要求定期试验、标识。</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Cs/>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val="en-US" w:eastAsia="zh-CN"/>
        </w:rPr>
        <w:t>19</w:t>
      </w:r>
      <w:r>
        <w:rPr>
          <w:rFonts w:hint="eastAsia" w:ascii="仿宋_GB2312" w:hAnsi="仿宋_GB2312" w:eastAsia="仿宋_GB2312" w:cs="仿宋_GB2312"/>
          <w:bCs/>
          <w:color w:val="000000"/>
          <w:spacing w:val="12"/>
          <w:sz w:val="32"/>
          <w:szCs w:val="32"/>
          <w:highlight w:val="none"/>
          <w:shd w:val="clear" w:color="auto" w:fill="FFFFFF"/>
          <w:lang w:eastAsia="zh-CN"/>
        </w:rPr>
        <w:t>.中标单位应对以蓄电池作为后备电源的消防设备，按照产品说明书要求定期对蓄电池进行维护保养。</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88" w:firstLineChars="200"/>
        <w:textAlignment w:val="auto"/>
        <w:rPr>
          <w:rFonts w:hint="eastAsia" w:ascii="仿宋_GB2312" w:hAnsi="仿宋_GB2312" w:eastAsia="仿宋_GB2312" w:cs="仿宋_GB2312"/>
          <w:b/>
          <w:color w:val="000000"/>
          <w:spacing w:val="12"/>
          <w:sz w:val="32"/>
          <w:szCs w:val="32"/>
          <w:highlight w:val="none"/>
          <w:shd w:val="clear" w:color="auto" w:fill="FFFFFF"/>
          <w:lang w:eastAsia="zh-CN"/>
        </w:rPr>
      </w:pPr>
      <w:r>
        <w:rPr>
          <w:rFonts w:hint="eastAsia" w:ascii="仿宋_GB2312" w:hAnsi="仿宋_GB2312" w:eastAsia="仿宋_GB2312" w:cs="仿宋_GB2312"/>
          <w:bCs/>
          <w:color w:val="000000"/>
          <w:spacing w:val="12"/>
          <w:sz w:val="32"/>
          <w:szCs w:val="32"/>
          <w:highlight w:val="none"/>
          <w:shd w:val="clear" w:color="auto" w:fill="FFFFFF"/>
          <w:lang w:val="en-US" w:eastAsia="zh-CN"/>
        </w:rPr>
        <w:t>20</w:t>
      </w:r>
      <w:r>
        <w:rPr>
          <w:rFonts w:hint="eastAsia" w:ascii="仿宋_GB2312" w:hAnsi="仿宋_GB2312" w:eastAsia="仿宋_GB2312" w:cs="仿宋_GB2312"/>
          <w:bCs/>
          <w:color w:val="000000"/>
          <w:spacing w:val="12"/>
          <w:sz w:val="32"/>
          <w:szCs w:val="32"/>
          <w:highlight w:val="none"/>
          <w:shd w:val="clear" w:color="auto" w:fill="FFFFFF"/>
          <w:lang w:eastAsia="zh-CN"/>
        </w:rPr>
        <w:t>.对于使用周期超过产品说明书寿命的易损件、消防设备、以及经检查检测已不能正常使用的火灾探测器、压力容器、灭火剂等产品设备，中标单位要提醒招标单位及时更换。</w:t>
      </w: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color w:val="000000"/>
          <w:spacing w:val="12"/>
          <w:sz w:val="32"/>
          <w:szCs w:val="32"/>
          <w:highlight w:val="none"/>
          <w:shd w:val="clear" w:color="auto" w:fill="FFFFFF"/>
          <w:lang w:eastAsia="zh-CN"/>
        </w:rPr>
      </w:pPr>
      <w:r>
        <w:rPr>
          <w:rFonts w:hint="eastAsia" w:ascii="黑体" w:hAnsi="黑体" w:eastAsia="黑体" w:cs="黑体"/>
          <w:b/>
          <w:color w:val="000000"/>
          <w:spacing w:val="12"/>
          <w:sz w:val="32"/>
          <w:szCs w:val="32"/>
          <w:highlight w:val="none"/>
          <w:shd w:val="clear" w:color="auto" w:fill="FFFFFF"/>
          <w:lang w:eastAsia="zh-CN"/>
        </w:rPr>
        <w:t>四、消防系统检测、维修、保养外委服务责任：</w:t>
      </w:r>
    </w:p>
    <w:p>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eastAsia" w:ascii="仿宋_GB2312" w:hAnsi="仿宋_GB2312" w:eastAsia="仿宋_GB2312" w:cs="仿宋_GB2312"/>
          <w:bCs/>
          <w:color w:val="000000"/>
          <w:spacing w:val="12"/>
          <w:kern w:val="0"/>
          <w:sz w:val="32"/>
          <w:szCs w:val="32"/>
          <w:highlight w:val="none"/>
          <w:shd w:val="clear" w:color="auto" w:fill="FFFFFF"/>
          <w:lang w:bidi="en-US"/>
        </w:rPr>
      </w:pPr>
      <w:r>
        <w:rPr>
          <w:rFonts w:hint="eastAsia" w:ascii="仿宋_GB2312" w:hAnsi="仿宋_GB2312" w:eastAsia="仿宋_GB2312" w:cs="仿宋_GB2312"/>
          <w:bCs/>
          <w:color w:val="000000"/>
          <w:spacing w:val="12"/>
          <w:kern w:val="0"/>
          <w:sz w:val="32"/>
          <w:szCs w:val="32"/>
          <w:highlight w:val="none"/>
          <w:shd w:val="clear" w:color="auto" w:fill="FFFFFF"/>
          <w:lang w:val="en-US" w:eastAsia="zh-CN" w:bidi="en-US"/>
        </w:rPr>
        <w:t>1</w:t>
      </w:r>
      <w:r>
        <w:rPr>
          <w:rFonts w:hint="eastAsia" w:ascii="仿宋_GB2312" w:hAnsi="仿宋_GB2312" w:eastAsia="仿宋_GB2312" w:cs="仿宋_GB2312"/>
          <w:bCs/>
          <w:color w:val="000000"/>
          <w:spacing w:val="12"/>
          <w:kern w:val="0"/>
          <w:sz w:val="32"/>
          <w:szCs w:val="32"/>
          <w:highlight w:val="none"/>
          <w:shd w:val="clear" w:color="auto" w:fill="FFFFFF"/>
          <w:lang w:bidi="en-US"/>
        </w:rPr>
        <w:t>.服务期限内，维护保养期间需要增加或更换新的设备时，应由招标单位负责完成采购工作，中标单位协助并负责完成组织安装调试工作。</w:t>
      </w:r>
    </w:p>
    <w:p>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eastAsia" w:ascii="仿宋_GB2312" w:hAnsi="仿宋_GB2312" w:eastAsia="仿宋_GB2312" w:cs="仿宋_GB2312"/>
          <w:bCs/>
          <w:color w:val="000000"/>
          <w:spacing w:val="12"/>
          <w:kern w:val="0"/>
          <w:sz w:val="32"/>
          <w:szCs w:val="32"/>
          <w:highlight w:val="none"/>
          <w:shd w:val="clear" w:color="auto" w:fill="FFFFFF"/>
          <w:lang w:bidi="en-US"/>
        </w:rPr>
      </w:pPr>
      <w:r>
        <w:rPr>
          <w:rFonts w:hint="eastAsia" w:ascii="仿宋_GB2312" w:hAnsi="仿宋_GB2312" w:eastAsia="仿宋_GB2312" w:cs="仿宋_GB2312"/>
          <w:bCs/>
          <w:color w:val="000000"/>
          <w:spacing w:val="12"/>
          <w:kern w:val="0"/>
          <w:sz w:val="32"/>
          <w:szCs w:val="32"/>
          <w:highlight w:val="none"/>
          <w:shd w:val="clear" w:color="auto" w:fill="FFFFFF"/>
          <w:lang w:val="en-US" w:eastAsia="zh-CN" w:bidi="en-US"/>
        </w:rPr>
        <w:t>2</w:t>
      </w:r>
      <w:r>
        <w:rPr>
          <w:rFonts w:hint="eastAsia" w:ascii="仿宋_GB2312" w:hAnsi="仿宋_GB2312" w:eastAsia="仿宋_GB2312" w:cs="仿宋_GB2312"/>
          <w:bCs/>
          <w:color w:val="000000"/>
          <w:spacing w:val="12"/>
          <w:kern w:val="0"/>
          <w:sz w:val="32"/>
          <w:szCs w:val="32"/>
          <w:highlight w:val="none"/>
          <w:shd w:val="clear" w:color="auto" w:fill="FFFFFF"/>
          <w:lang w:bidi="en-US"/>
        </w:rPr>
        <w:t>.中标单位在维保期间发现消防设施故障并不能及时排除时，应及时向招标单位汇报，并提出应急方案，做好现场应急安全防范措施。</w:t>
      </w:r>
    </w:p>
    <w:p>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eastAsia" w:ascii="仿宋_GB2312" w:hAnsi="仿宋_GB2312" w:eastAsia="仿宋_GB2312" w:cs="仿宋_GB2312"/>
          <w:bCs/>
          <w:color w:val="000000"/>
          <w:spacing w:val="12"/>
          <w:kern w:val="0"/>
          <w:sz w:val="32"/>
          <w:szCs w:val="32"/>
          <w:highlight w:val="none"/>
          <w:shd w:val="clear" w:color="auto" w:fill="FFFFFF"/>
          <w:lang w:bidi="en-US"/>
        </w:rPr>
      </w:pPr>
      <w:r>
        <w:rPr>
          <w:rFonts w:hint="eastAsia" w:ascii="仿宋_GB2312" w:hAnsi="仿宋_GB2312" w:eastAsia="仿宋_GB2312" w:cs="仿宋_GB2312"/>
          <w:bCs/>
          <w:color w:val="000000"/>
          <w:spacing w:val="12"/>
          <w:kern w:val="0"/>
          <w:sz w:val="32"/>
          <w:szCs w:val="32"/>
          <w:highlight w:val="none"/>
          <w:shd w:val="clear" w:color="auto" w:fill="FFFFFF"/>
          <w:lang w:val="en-US" w:eastAsia="zh-CN" w:bidi="en-US"/>
        </w:rPr>
        <w:t>3</w:t>
      </w:r>
      <w:r>
        <w:rPr>
          <w:rFonts w:hint="eastAsia" w:ascii="仿宋_GB2312" w:hAnsi="仿宋_GB2312" w:eastAsia="仿宋_GB2312" w:cs="仿宋_GB2312"/>
          <w:bCs/>
          <w:color w:val="000000"/>
          <w:spacing w:val="12"/>
          <w:kern w:val="0"/>
          <w:sz w:val="32"/>
          <w:szCs w:val="32"/>
          <w:highlight w:val="none"/>
          <w:shd w:val="clear" w:color="auto" w:fill="FFFFFF"/>
          <w:lang w:bidi="en-US"/>
        </w:rPr>
        <w:t>.中标单位应遵守国家、地方消防安全管理的相关规定，按标准实施作业。在检测、维修、保养作业过程中若发生安全防范措施不到位、违章违规作业，造成人员伤亡、设备损坏及财产损失时，中标单位应承担全部法律责任和经济损失。</w:t>
      </w:r>
    </w:p>
    <w:p>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eastAsia" w:ascii="仿宋_GB2312" w:hAnsi="仿宋_GB2312" w:eastAsia="仿宋_GB2312" w:cs="仿宋_GB2312"/>
          <w:bCs/>
          <w:color w:val="000000"/>
          <w:spacing w:val="12"/>
          <w:kern w:val="0"/>
          <w:sz w:val="32"/>
          <w:szCs w:val="32"/>
          <w:highlight w:val="none"/>
          <w:shd w:val="clear" w:color="auto" w:fill="FFFFFF"/>
          <w:lang w:bidi="en-US"/>
        </w:rPr>
      </w:pPr>
      <w:r>
        <w:rPr>
          <w:rFonts w:hint="eastAsia" w:ascii="仿宋_GB2312" w:hAnsi="仿宋_GB2312" w:eastAsia="仿宋_GB2312" w:cs="仿宋_GB2312"/>
          <w:bCs/>
          <w:color w:val="000000"/>
          <w:spacing w:val="12"/>
          <w:kern w:val="0"/>
          <w:sz w:val="32"/>
          <w:szCs w:val="32"/>
          <w:highlight w:val="none"/>
          <w:shd w:val="clear" w:color="auto" w:fill="FFFFFF"/>
          <w:lang w:val="en-US" w:eastAsia="zh-CN" w:bidi="en-US"/>
        </w:rPr>
        <w:t>4</w:t>
      </w:r>
      <w:r>
        <w:rPr>
          <w:rFonts w:hint="eastAsia" w:ascii="仿宋_GB2312" w:hAnsi="仿宋_GB2312" w:eastAsia="仿宋_GB2312" w:cs="仿宋_GB2312"/>
          <w:bCs/>
          <w:color w:val="000000"/>
          <w:spacing w:val="12"/>
          <w:kern w:val="0"/>
          <w:sz w:val="32"/>
          <w:szCs w:val="32"/>
          <w:highlight w:val="none"/>
          <w:shd w:val="clear" w:color="auto" w:fill="FFFFFF"/>
          <w:lang w:bidi="en-US"/>
        </w:rPr>
        <w:t>.中标单位应对消防设施进行检查、调试、维修，使整个消防系统具备报警、联动、自动排烟、自动灭火等应有的消防功能，各项运行状态正常，整个消防系统时刻处于良好工作状态。如发生火灾，消防系统不能发挥应有功能，中标单位应承担相应的法律责任和经济损失。</w:t>
      </w:r>
    </w:p>
    <w:p>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eastAsia" w:ascii="仿宋_GB2312" w:hAnsi="仿宋_GB2312" w:eastAsia="仿宋_GB2312" w:cs="仿宋_GB2312"/>
          <w:bCs/>
          <w:color w:val="000000"/>
          <w:spacing w:val="12"/>
          <w:kern w:val="0"/>
          <w:sz w:val="32"/>
          <w:szCs w:val="32"/>
          <w:highlight w:val="none"/>
          <w:shd w:val="clear" w:color="auto" w:fill="FFFFFF"/>
          <w:lang w:bidi="en-US"/>
        </w:rPr>
      </w:pPr>
      <w:r>
        <w:rPr>
          <w:rFonts w:hint="eastAsia" w:ascii="仿宋_GB2312" w:hAnsi="仿宋_GB2312" w:eastAsia="仿宋_GB2312" w:cs="仿宋_GB2312"/>
          <w:bCs/>
          <w:color w:val="000000"/>
          <w:spacing w:val="12"/>
          <w:kern w:val="0"/>
          <w:sz w:val="32"/>
          <w:szCs w:val="32"/>
          <w:highlight w:val="none"/>
          <w:shd w:val="clear" w:color="auto" w:fill="FFFFFF"/>
          <w:lang w:val="en-US" w:eastAsia="zh-CN" w:bidi="en-US"/>
        </w:rPr>
        <w:t>5</w:t>
      </w:r>
      <w:r>
        <w:rPr>
          <w:rFonts w:hint="eastAsia" w:ascii="仿宋_GB2312" w:hAnsi="仿宋_GB2312" w:eastAsia="仿宋_GB2312" w:cs="仿宋_GB2312"/>
          <w:bCs/>
          <w:color w:val="000000"/>
          <w:spacing w:val="12"/>
          <w:kern w:val="0"/>
          <w:sz w:val="32"/>
          <w:szCs w:val="32"/>
          <w:highlight w:val="none"/>
          <w:shd w:val="clear" w:color="auto" w:fill="FFFFFF"/>
          <w:lang w:bidi="en-US"/>
        </w:rPr>
        <w:t>.消防大队、应急管理局、安监局等政府职能部门对本项目进行安全检查时，若因中标单位检测、维修、保养工作不到位造成的行政处罚，由中标单位承担罚款，并承担相应的法律责任和由此给招标单位造成的损失。</w:t>
      </w:r>
    </w:p>
    <w:p>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eastAsia" w:ascii="仿宋_GB2312" w:hAnsi="仿宋_GB2312" w:eastAsia="仿宋_GB2312" w:cs="仿宋_GB2312"/>
          <w:bCs/>
          <w:color w:val="000000"/>
          <w:spacing w:val="12"/>
          <w:kern w:val="0"/>
          <w:sz w:val="32"/>
          <w:szCs w:val="32"/>
          <w:highlight w:val="none"/>
          <w:shd w:val="clear" w:color="auto" w:fill="FFFFFF"/>
          <w:lang w:bidi="en-US"/>
        </w:rPr>
      </w:pPr>
      <w:r>
        <w:rPr>
          <w:rFonts w:hint="eastAsia" w:ascii="仿宋_GB2312" w:hAnsi="仿宋_GB2312" w:eastAsia="仿宋_GB2312" w:cs="仿宋_GB2312"/>
          <w:bCs/>
          <w:color w:val="000000"/>
          <w:spacing w:val="12"/>
          <w:kern w:val="0"/>
          <w:sz w:val="32"/>
          <w:szCs w:val="32"/>
          <w:highlight w:val="none"/>
          <w:shd w:val="clear" w:color="auto" w:fill="FFFFFF"/>
          <w:lang w:val="en-US" w:eastAsia="zh-CN" w:bidi="en-US"/>
        </w:rPr>
        <w:t>6</w:t>
      </w:r>
      <w:r>
        <w:rPr>
          <w:rFonts w:hint="eastAsia" w:ascii="仿宋_GB2312" w:hAnsi="仿宋_GB2312" w:eastAsia="仿宋_GB2312" w:cs="仿宋_GB2312"/>
          <w:bCs/>
          <w:color w:val="000000"/>
          <w:spacing w:val="12"/>
          <w:kern w:val="0"/>
          <w:sz w:val="32"/>
          <w:szCs w:val="32"/>
          <w:highlight w:val="none"/>
          <w:shd w:val="clear" w:color="auto" w:fill="FFFFFF"/>
          <w:lang w:bidi="en-US"/>
        </w:rPr>
        <w:t>.如因中标单位消防维保服务人员在检测、维修、保养工作过程中操作失误给招标单位造成经济损失的，中标单位应承担全部赔偿责任。</w:t>
      </w:r>
    </w:p>
    <w:p>
      <w:pPr>
        <w:rPr>
          <w:rFonts w:hint="default" w:ascii="黑体" w:hAnsi="黑体" w:eastAsia="黑体" w:cs="黑体"/>
          <w:sz w:val="32"/>
          <w:szCs w:val="32"/>
          <w:highlight w:val="none"/>
          <w:lang w:val="en-US" w:eastAsia="zh-CN"/>
        </w:rPr>
      </w:pPr>
      <w:r>
        <w:rPr>
          <w:rFonts w:hint="eastAsia" w:ascii="黑体" w:hAnsi="黑体" w:eastAsia="黑体" w:cs="黑体"/>
          <w:b/>
          <w:color w:val="000000"/>
          <w:spacing w:val="12"/>
          <w:kern w:val="0"/>
          <w:sz w:val="32"/>
          <w:szCs w:val="32"/>
          <w:highlight w:val="none"/>
          <w:shd w:val="clear" w:color="auto" w:fill="FFFFFF"/>
          <w:lang w:bidi="en-US"/>
        </w:rPr>
        <w:t>五、消防系统检测</w:t>
      </w:r>
      <w:r>
        <w:rPr>
          <w:rFonts w:hint="eastAsia" w:ascii="黑体" w:hAnsi="黑体" w:eastAsia="黑体" w:cs="黑体"/>
          <w:b/>
          <w:color w:val="000000"/>
          <w:spacing w:val="12"/>
          <w:kern w:val="0"/>
          <w:sz w:val="32"/>
          <w:szCs w:val="32"/>
          <w:highlight w:val="none"/>
          <w:shd w:val="clear" w:color="auto" w:fill="FFFFFF"/>
          <w:lang w:val="en-US" w:eastAsia="zh-CN" w:bidi="en-US"/>
        </w:rPr>
        <w:t>维保</w:t>
      </w:r>
      <w:r>
        <w:rPr>
          <w:rFonts w:hint="eastAsia" w:ascii="黑体" w:hAnsi="黑体" w:eastAsia="黑体" w:cs="黑体"/>
          <w:b/>
          <w:color w:val="000000"/>
          <w:spacing w:val="12"/>
          <w:kern w:val="0"/>
          <w:sz w:val="32"/>
          <w:szCs w:val="32"/>
          <w:highlight w:val="none"/>
          <w:shd w:val="clear" w:color="auto" w:fill="FFFFFF"/>
          <w:lang w:bidi="en-US"/>
        </w:rPr>
        <w:t>内容</w:t>
      </w:r>
      <w:r>
        <w:rPr>
          <w:rFonts w:hint="eastAsia" w:ascii="黑体" w:hAnsi="黑体" w:eastAsia="黑体" w:cs="黑体"/>
          <w:b/>
          <w:color w:val="000000"/>
          <w:spacing w:val="12"/>
          <w:kern w:val="0"/>
          <w:sz w:val="32"/>
          <w:szCs w:val="32"/>
          <w:highlight w:val="none"/>
          <w:shd w:val="clear" w:color="auto" w:fill="FFFFFF"/>
          <w:lang w:val="en-US" w:eastAsia="zh-CN" w:bidi="en-US"/>
        </w:rPr>
        <w:t>清单及上限单价</w:t>
      </w:r>
    </w:p>
    <w:p>
      <w:pPr>
        <w:jc w:val="center"/>
        <w:outlineLvl w:val="9"/>
        <w:rPr>
          <w:rFonts w:hint="eastAsia" w:ascii="仿宋" w:hAnsi="仿宋" w:eastAsia="仿宋"/>
          <w:color w:val="000000" w:themeColor="text1"/>
          <w:kern w:val="0"/>
          <w:sz w:val="28"/>
          <w:szCs w:val="21"/>
          <w:highlight w:val="none"/>
          <w14:textFill>
            <w14:solidFill>
              <w14:schemeClr w14:val="tx1"/>
            </w14:solidFill>
          </w14:textFill>
        </w:rPr>
      </w:pP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5"/>
        <w:gridCol w:w="1812"/>
        <w:gridCol w:w="1449"/>
        <w:gridCol w:w="1045"/>
        <w:gridCol w:w="1928"/>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类别</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品名</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规格型号</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预估数量</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上限单价</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医疗急救</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医药箱</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长40*宽25*高25CM</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污染控制</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吸油毡</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40*50CM</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块</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消防救援</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灭火器（新购）</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35KG干粉　</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具</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灭火器（维保）</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35KG干粉　</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具</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灭火器（新购）</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5KG干粉</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具</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灭火器（维保）</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5KG干粉</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具</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灭火器（新购）</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3KG二氧化碳</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具</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灭火器（维保）</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3KG二氧化碳</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具</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消防锹</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把</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消防铜锹</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把</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消防桶</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灭火毯</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1*1M国标</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床</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头盔</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国标</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反恐防暴</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防暴盾牌</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块</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防暴钢叉</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把</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防刺服</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件</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保安头盔</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顶</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PC棍</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抓捕脚叉</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把</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强光手电</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只</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防割手套</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付</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电力抢修</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绝缘手套</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绝缘靴</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木质皮老虎吹尘器</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绝缘棒</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应急照明</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应急灯</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LED</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盏</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防爆手电</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EX标志</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防洪防汛</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雨衣</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件</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雨靴</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沙袋</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防汛用</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救生衣</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件</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污水泵（新购）</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20米扬程</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污水泵（维保）</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20米扬程</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水管（30M）</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与污水泵配套</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条</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通讯电缆</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50M</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盘</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微型消防站</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消防防护服</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17款3C</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防毒面具</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消防斧</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把</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头盔</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安全绳</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付</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消防靴</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器材柜</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1200*900</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防寒防冻</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麻袋</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片</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750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盐</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100KG</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袋</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马栏山北区能源站</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马栏山北区能源站火灾报警系统常规维保</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每年</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含单个配件不超过100元设备更换</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马栏山北区能源站消火栓/自动喷水灭火系统常规维保</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每年</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含爆破喷淋更换</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消防系统年度检测</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每年</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对场内消防设施设备每年进行全面检测并出具消防年度检测报告，电气检测报告</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马栏山北区能源站内消防器材维修</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含北区能源站内手提式干粉灭火器年度维修充气加粉等</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含北区能源站内手提式灭火器年度维修充气加粉等，不含七氟丙烷充装检测</w:t>
            </w:r>
          </w:p>
        </w:tc>
        <w:tc>
          <w:tcPr>
            <w:tcW w:w="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13800</w:t>
            </w:r>
          </w:p>
        </w:tc>
      </w:tr>
    </w:tbl>
    <w:p>
      <w:pPr>
        <w:jc w:val="center"/>
        <w:outlineLvl w:val="9"/>
        <w:rPr>
          <w:rFonts w:hint="eastAsia" w:ascii="仿宋" w:hAnsi="仿宋" w:eastAsia="仿宋"/>
          <w:color w:val="000000" w:themeColor="text1"/>
          <w:kern w:val="0"/>
          <w:sz w:val="28"/>
          <w:szCs w:val="21"/>
          <w:highlight w:val="none"/>
          <w14:textFill>
            <w14:solidFill>
              <w14:schemeClr w14:val="tx1"/>
            </w14:solidFill>
          </w14:textFill>
        </w:rPr>
      </w:pPr>
      <w:r>
        <w:rPr>
          <w:rFonts w:hint="eastAsia" w:ascii="仿宋" w:hAnsi="仿宋" w:eastAsia="仿宋"/>
          <w:color w:val="000000" w:themeColor="text1"/>
          <w:kern w:val="0"/>
          <w:sz w:val="28"/>
          <w:szCs w:val="21"/>
          <w:highlight w:val="none"/>
          <w14:textFill>
            <w14:solidFill>
              <w14:schemeClr w14:val="tx1"/>
            </w14:solidFill>
          </w14:textFill>
        </w:rPr>
        <w:br w:type="page"/>
      </w:r>
    </w:p>
    <w:p>
      <w:pPr>
        <w:pStyle w:val="23"/>
        <w:ind w:firstLine="320"/>
        <w:jc w:val="center"/>
        <w:outlineLvl w:val="0"/>
        <w:rPr>
          <w:rFonts w:hint="eastAsia" w:ascii="仿宋" w:hAnsi="仿宋" w:eastAsia="仿宋"/>
          <w:b/>
          <w:bCs/>
          <w:color w:val="000000" w:themeColor="text1"/>
          <w:kern w:val="0"/>
          <w:sz w:val="44"/>
          <w:szCs w:val="44"/>
          <w:highlight w:val="none"/>
          <w:lang w:val="en-US" w:eastAsia="zh-CN"/>
          <w14:textFill>
            <w14:solidFill>
              <w14:schemeClr w14:val="tx1"/>
            </w14:solidFill>
          </w14:textFill>
        </w:rPr>
      </w:pPr>
      <w:bookmarkStart w:id="21" w:name="_Toc15246"/>
      <w:r>
        <w:rPr>
          <w:rFonts w:hint="eastAsia" w:ascii="仿宋" w:hAnsi="仿宋" w:eastAsia="仿宋"/>
          <w:b/>
          <w:bCs/>
          <w:color w:val="000000" w:themeColor="text1"/>
          <w:kern w:val="0"/>
          <w:sz w:val="44"/>
          <w:szCs w:val="44"/>
          <w:highlight w:val="none"/>
          <w:lang w:val="en-US" w:eastAsia="zh-CN"/>
          <w14:textFill>
            <w14:solidFill>
              <w14:schemeClr w14:val="tx1"/>
            </w14:solidFill>
          </w14:textFill>
        </w:rPr>
        <w:t>第四章  报价文件格式</w:t>
      </w:r>
      <w:bookmarkEnd w:id="21"/>
    </w:p>
    <w:p>
      <w:pPr>
        <w:pStyle w:val="24"/>
        <w:outlineLvl w:val="9"/>
        <w:rPr>
          <w:color w:val="auto"/>
          <w:highlight w:val="none"/>
        </w:rPr>
      </w:pPr>
    </w:p>
    <w:p>
      <w:pPr>
        <w:tabs>
          <w:tab w:val="left" w:pos="1260"/>
        </w:tabs>
        <w:spacing w:line="360" w:lineRule="auto"/>
        <w:jc w:val="center"/>
        <w:outlineLvl w:val="9"/>
        <w:rPr>
          <w:rFonts w:ascii="仿宋" w:hAnsi="仿宋" w:eastAsia="仿宋"/>
          <w:color w:val="auto"/>
          <w:kern w:val="0"/>
          <w:sz w:val="28"/>
          <w:szCs w:val="21"/>
          <w:highlight w:val="none"/>
        </w:rPr>
      </w:pPr>
    </w:p>
    <w:p>
      <w:pPr>
        <w:pStyle w:val="23"/>
        <w:rPr>
          <w:highlight w:val="none"/>
        </w:rPr>
      </w:pPr>
    </w:p>
    <w:p>
      <w:pPr>
        <w:pStyle w:val="24"/>
        <w:outlineLvl w:val="9"/>
        <w:rPr>
          <w:color w:val="auto"/>
          <w:highlight w:val="none"/>
        </w:rPr>
      </w:pPr>
    </w:p>
    <w:p>
      <w:pPr>
        <w:rPr>
          <w:highlight w:val="none"/>
        </w:rPr>
      </w:pPr>
    </w:p>
    <w:p>
      <w:pPr>
        <w:widowControl/>
        <w:jc w:val="center"/>
        <w:outlineLvl w:val="9"/>
        <w:rPr>
          <w:rFonts w:ascii="仿宋" w:hAnsi="仿宋" w:eastAsia="仿宋" w:cs="仿宋"/>
          <w:b/>
          <w:bCs/>
          <w:color w:val="auto"/>
          <w:kern w:val="0"/>
          <w:sz w:val="48"/>
          <w:szCs w:val="48"/>
          <w:highlight w:val="none"/>
        </w:rPr>
      </w:pPr>
      <w:r>
        <w:rPr>
          <w:rFonts w:hint="eastAsia" w:ascii="仿宋" w:hAnsi="仿宋" w:eastAsia="仿宋" w:cs="仿宋"/>
          <w:color w:val="auto"/>
          <w:kern w:val="0"/>
          <w:sz w:val="48"/>
          <w:szCs w:val="48"/>
          <w:highlight w:val="none"/>
        </w:rPr>
        <w:t xml:space="preserve"> </w:t>
      </w:r>
      <w:r>
        <w:rPr>
          <w:rFonts w:hint="eastAsia" w:ascii="仿宋" w:hAnsi="仿宋" w:eastAsia="仿宋" w:cs="仿宋"/>
          <w:color w:val="auto"/>
          <w:kern w:val="0"/>
          <w:sz w:val="48"/>
          <w:szCs w:val="48"/>
          <w:highlight w:val="none"/>
          <w:u w:val="single"/>
        </w:rPr>
        <w:t xml:space="preserve">       （项目名称）</w:t>
      </w:r>
      <w:r>
        <w:rPr>
          <w:rFonts w:hint="eastAsia" w:ascii="仿宋" w:hAnsi="仿宋" w:eastAsia="仿宋" w:cs="仿宋"/>
          <w:color w:val="auto"/>
          <w:kern w:val="0"/>
          <w:sz w:val="48"/>
          <w:szCs w:val="48"/>
          <w:highlight w:val="none"/>
          <w:u w:val="single"/>
          <w:lang w:val="en-US" w:eastAsia="zh-CN"/>
        </w:rPr>
        <w:t xml:space="preserve">    </w:t>
      </w:r>
      <w:r>
        <w:rPr>
          <w:rFonts w:hint="eastAsia" w:ascii="仿宋" w:hAnsi="仿宋" w:eastAsia="仿宋" w:cs="仿宋"/>
          <w:color w:val="auto"/>
          <w:kern w:val="0"/>
          <w:sz w:val="48"/>
          <w:szCs w:val="48"/>
          <w:highlight w:val="none"/>
          <w:u w:val="single"/>
        </w:rPr>
        <w:t xml:space="preserve">   </w:t>
      </w:r>
      <w:r>
        <w:rPr>
          <w:rFonts w:hint="eastAsia" w:ascii="仿宋" w:hAnsi="仿宋" w:eastAsia="仿宋" w:cs="仿宋"/>
          <w:b/>
          <w:bCs/>
          <w:color w:val="auto"/>
          <w:kern w:val="0"/>
          <w:sz w:val="48"/>
          <w:szCs w:val="48"/>
          <w:highlight w:val="none"/>
        </w:rPr>
        <w:t>项目</w:t>
      </w:r>
    </w:p>
    <w:p>
      <w:pPr>
        <w:widowControl/>
        <w:spacing w:before="312"/>
        <w:jc w:val="center"/>
        <w:outlineLvl w:val="9"/>
        <w:rPr>
          <w:rFonts w:hint="eastAsia" w:ascii="仿宋" w:hAnsi="仿宋" w:eastAsia="仿宋" w:cs="仿宋"/>
          <w:color w:val="auto"/>
          <w:kern w:val="0"/>
          <w:sz w:val="48"/>
          <w:szCs w:val="48"/>
          <w:highlight w:val="none"/>
          <w:lang w:val="en-US" w:eastAsia="zh-CN"/>
        </w:rPr>
      </w:pPr>
    </w:p>
    <w:p>
      <w:pPr>
        <w:widowControl/>
        <w:spacing w:before="312"/>
        <w:jc w:val="center"/>
        <w:outlineLvl w:val="9"/>
        <w:rPr>
          <w:rFonts w:hint="eastAsia" w:ascii="仿宋" w:hAnsi="仿宋" w:eastAsia="仿宋" w:cs="仿宋"/>
          <w:color w:val="auto"/>
          <w:kern w:val="0"/>
          <w:sz w:val="48"/>
          <w:szCs w:val="48"/>
          <w:highlight w:val="none"/>
          <w:lang w:val="en-US" w:eastAsia="zh-CN"/>
        </w:rPr>
      </w:pPr>
    </w:p>
    <w:p>
      <w:pPr>
        <w:widowControl/>
        <w:spacing w:before="312"/>
        <w:jc w:val="center"/>
        <w:outlineLvl w:val="9"/>
        <w:rPr>
          <w:rFonts w:ascii="仿宋" w:hAnsi="仿宋" w:eastAsia="仿宋" w:cs="仿宋"/>
          <w:color w:val="auto"/>
          <w:kern w:val="0"/>
          <w:sz w:val="48"/>
          <w:szCs w:val="48"/>
          <w:highlight w:val="none"/>
        </w:rPr>
      </w:pPr>
      <w:r>
        <w:rPr>
          <w:rFonts w:hint="eastAsia" w:ascii="仿宋" w:hAnsi="仿宋" w:eastAsia="仿宋" w:cs="仿宋"/>
          <w:color w:val="auto"/>
          <w:kern w:val="0"/>
          <w:sz w:val="48"/>
          <w:szCs w:val="48"/>
          <w:highlight w:val="none"/>
          <w:lang w:val="en-US" w:eastAsia="zh-CN"/>
        </w:rPr>
        <w:t>报</w:t>
      </w:r>
      <w:r>
        <w:rPr>
          <w:rFonts w:hint="eastAsia" w:ascii="仿宋" w:hAnsi="仿宋" w:eastAsia="仿宋" w:cs="仿宋"/>
          <w:color w:val="auto"/>
          <w:kern w:val="0"/>
          <w:sz w:val="48"/>
          <w:szCs w:val="48"/>
          <w:highlight w:val="none"/>
        </w:rPr>
        <w:t xml:space="preserve">  </w:t>
      </w:r>
      <w:r>
        <w:rPr>
          <w:rFonts w:hint="eastAsia" w:ascii="仿宋" w:hAnsi="仿宋" w:eastAsia="仿宋" w:cs="仿宋"/>
          <w:color w:val="auto"/>
          <w:kern w:val="0"/>
          <w:sz w:val="48"/>
          <w:szCs w:val="48"/>
          <w:highlight w:val="none"/>
          <w:lang w:val="en-US" w:eastAsia="zh-CN"/>
        </w:rPr>
        <w:t>价</w:t>
      </w:r>
      <w:r>
        <w:rPr>
          <w:rFonts w:hint="eastAsia" w:ascii="仿宋" w:hAnsi="仿宋" w:eastAsia="仿宋" w:cs="仿宋"/>
          <w:color w:val="auto"/>
          <w:kern w:val="0"/>
          <w:sz w:val="48"/>
          <w:szCs w:val="48"/>
          <w:highlight w:val="none"/>
        </w:rPr>
        <w:t xml:space="preserve">  文  件</w:t>
      </w:r>
    </w:p>
    <w:p>
      <w:pPr>
        <w:spacing w:line="360" w:lineRule="auto"/>
        <w:jc w:val="left"/>
        <w:outlineLvl w:val="9"/>
        <w:rPr>
          <w:rFonts w:ascii="仿宋" w:hAnsi="仿宋" w:eastAsia="仿宋"/>
          <w:color w:val="auto"/>
          <w:sz w:val="18"/>
          <w:szCs w:val="18"/>
          <w:highlight w:val="none"/>
        </w:rPr>
      </w:pPr>
    </w:p>
    <w:p>
      <w:pPr>
        <w:spacing w:line="360" w:lineRule="auto"/>
        <w:jc w:val="left"/>
        <w:outlineLvl w:val="9"/>
        <w:rPr>
          <w:rFonts w:ascii="仿宋" w:hAnsi="仿宋" w:eastAsia="仿宋"/>
          <w:color w:val="auto"/>
          <w:sz w:val="24"/>
          <w:szCs w:val="24"/>
          <w:highlight w:val="none"/>
        </w:rPr>
      </w:pPr>
    </w:p>
    <w:p>
      <w:pPr>
        <w:spacing w:line="360" w:lineRule="auto"/>
        <w:jc w:val="left"/>
        <w:outlineLvl w:val="9"/>
        <w:rPr>
          <w:rFonts w:ascii="仿宋" w:hAnsi="仿宋" w:eastAsia="仿宋"/>
          <w:color w:val="auto"/>
          <w:sz w:val="24"/>
          <w:szCs w:val="24"/>
          <w:highlight w:val="none"/>
        </w:rPr>
      </w:pPr>
    </w:p>
    <w:p>
      <w:pPr>
        <w:spacing w:line="360" w:lineRule="auto"/>
        <w:jc w:val="left"/>
        <w:outlineLvl w:val="9"/>
        <w:rPr>
          <w:rFonts w:ascii="仿宋" w:hAnsi="仿宋" w:eastAsia="仿宋"/>
          <w:color w:val="auto"/>
          <w:sz w:val="24"/>
          <w:szCs w:val="24"/>
          <w:highlight w:val="none"/>
        </w:rPr>
      </w:pPr>
    </w:p>
    <w:p>
      <w:pPr>
        <w:spacing w:line="360" w:lineRule="auto"/>
        <w:jc w:val="left"/>
        <w:outlineLvl w:val="9"/>
        <w:rPr>
          <w:rFonts w:ascii="仿宋" w:hAnsi="仿宋" w:eastAsia="仿宋"/>
          <w:color w:val="auto"/>
          <w:sz w:val="24"/>
          <w:szCs w:val="24"/>
          <w:highlight w:val="none"/>
        </w:rPr>
      </w:pPr>
    </w:p>
    <w:p>
      <w:pPr>
        <w:spacing w:line="360" w:lineRule="auto"/>
        <w:jc w:val="left"/>
        <w:outlineLvl w:val="9"/>
        <w:rPr>
          <w:rFonts w:ascii="仿宋" w:hAnsi="仿宋" w:eastAsia="仿宋"/>
          <w:color w:val="auto"/>
          <w:sz w:val="24"/>
          <w:szCs w:val="24"/>
          <w:highlight w:val="none"/>
        </w:rPr>
      </w:pPr>
    </w:p>
    <w:p>
      <w:pPr>
        <w:spacing w:line="360" w:lineRule="auto"/>
        <w:jc w:val="left"/>
        <w:outlineLvl w:val="9"/>
        <w:rPr>
          <w:rFonts w:ascii="仿宋" w:hAnsi="仿宋" w:eastAsia="仿宋"/>
          <w:color w:val="auto"/>
          <w:sz w:val="24"/>
          <w:szCs w:val="24"/>
          <w:highlight w:val="none"/>
        </w:rPr>
      </w:pPr>
    </w:p>
    <w:p>
      <w:pPr>
        <w:spacing w:line="360" w:lineRule="auto"/>
        <w:jc w:val="left"/>
        <w:outlineLvl w:val="9"/>
        <w:rPr>
          <w:rFonts w:ascii="仿宋" w:hAnsi="仿宋" w:eastAsia="仿宋"/>
          <w:color w:val="auto"/>
          <w:sz w:val="24"/>
          <w:szCs w:val="24"/>
          <w:highlight w:val="none"/>
        </w:rPr>
      </w:pPr>
    </w:p>
    <w:p>
      <w:pPr>
        <w:spacing w:line="360" w:lineRule="auto"/>
        <w:jc w:val="left"/>
        <w:outlineLvl w:val="9"/>
        <w:rPr>
          <w:rFonts w:ascii="仿宋" w:hAnsi="仿宋" w:eastAsia="仿宋"/>
          <w:color w:val="auto"/>
          <w:sz w:val="18"/>
          <w:szCs w:val="18"/>
          <w:highlight w:val="none"/>
        </w:rPr>
      </w:pPr>
    </w:p>
    <w:p>
      <w:pPr>
        <w:widowControl/>
        <w:spacing w:line="360" w:lineRule="auto"/>
        <w:jc w:val="center"/>
        <w:outlineLvl w:val="9"/>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报价单位</w:t>
      </w:r>
      <w:r>
        <w:rPr>
          <w:rFonts w:hint="eastAsia" w:ascii="仿宋" w:hAnsi="仿宋" w:eastAsia="仿宋"/>
          <w:color w:val="auto"/>
          <w:kern w:val="0"/>
          <w:sz w:val="24"/>
          <w:szCs w:val="24"/>
          <w:highlight w:val="none"/>
        </w:rPr>
        <w:t>：</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w:t>
      </w:r>
      <w:r>
        <w:rPr>
          <w:rFonts w:hint="eastAsia" w:ascii="仿宋" w:hAnsi="仿宋" w:eastAsia="仿宋"/>
          <w:color w:val="auto"/>
          <w:kern w:val="0"/>
          <w:sz w:val="24"/>
          <w:szCs w:val="24"/>
          <w:highlight w:val="none"/>
          <w:lang w:eastAsia="zh-CN"/>
        </w:rPr>
        <w:t>盖单位公章</w:t>
      </w:r>
      <w:r>
        <w:rPr>
          <w:rFonts w:hint="eastAsia" w:ascii="仿宋" w:hAnsi="仿宋" w:eastAsia="仿宋"/>
          <w:color w:val="auto"/>
          <w:kern w:val="0"/>
          <w:sz w:val="24"/>
          <w:szCs w:val="24"/>
          <w:highlight w:val="none"/>
        </w:rPr>
        <w:t>）</w:t>
      </w:r>
    </w:p>
    <w:p>
      <w:pPr>
        <w:pStyle w:val="9"/>
        <w:rPr>
          <w:highlight w:val="none"/>
        </w:rPr>
      </w:pPr>
    </w:p>
    <w:p>
      <w:pPr>
        <w:widowControl/>
        <w:spacing w:line="360" w:lineRule="auto"/>
        <w:jc w:val="center"/>
        <w:outlineLvl w:val="9"/>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法定代表人或其委托代理人：</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（签字或盖章）</w:t>
      </w:r>
    </w:p>
    <w:p>
      <w:pPr>
        <w:pStyle w:val="9"/>
        <w:rPr>
          <w:highlight w:val="none"/>
        </w:rPr>
      </w:pPr>
    </w:p>
    <w:p>
      <w:pPr>
        <w:widowControl/>
        <w:spacing w:before="156" w:after="312" w:line="420" w:lineRule="atLeast"/>
        <w:jc w:val="center"/>
        <w:outlineLvl w:val="9"/>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年</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月</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日</w:t>
      </w:r>
    </w:p>
    <w:p>
      <w:pPr>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jc w:val="center"/>
        <w:rPr>
          <w:rFonts w:hint="eastAsia" w:ascii="仿宋" w:hAnsi="仿宋" w:eastAsia="仿宋"/>
          <w:b w:val="0"/>
          <w:bCs/>
          <w:color w:val="auto"/>
          <w:kern w:val="0"/>
          <w:sz w:val="36"/>
          <w:szCs w:val="36"/>
          <w:highlight w:val="none"/>
        </w:rPr>
      </w:pPr>
      <w:bookmarkStart w:id="22" w:name="_Toc75776071"/>
    </w:p>
    <w:p>
      <w:pPr>
        <w:jc w:val="center"/>
        <w:rPr>
          <w:rFonts w:hint="eastAsia" w:ascii="仿宋" w:hAnsi="仿宋" w:eastAsia="仿宋"/>
          <w:b w:val="0"/>
          <w:bCs/>
          <w:color w:val="auto"/>
          <w:kern w:val="0"/>
          <w:sz w:val="36"/>
          <w:szCs w:val="36"/>
          <w:highlight w:val="none"/>
        </w:rPr>
      </w:pPr>
    </w:p>
    <w:p>
      <w:pPr>
        <w:jc w:val="center"/>
        <w:rPr>
          <w:rFonts w:hint="eastAsia" w:ascii="仿宋" w:hAnsi="仿宋" w:eastAsia="仿宋"/>
          <w:b w:val="0"/>
          <w:bCs/>
          <w:color w:val="auto"/>
          <w:kern w:val="0"/>
          <w:sz w:val="36"/>
          <w:szCs w:val="36"/>
          <w:highlight w:val="none"/>
        </w:rPr>
      </w:pPr>
      <w:r>
        <w:rPr>
          <w:rFonts w:hint="eastAsia" w:ascii="仿宋" w:hAnsi="仿宋" w:eastAsia="仿宋"/>
          <w:b w:val="0"/>
          <w:bCs/>
          <w:color w:val="auto"/>
          <w:kern w:val="0"/>
          <w:sz w:val="36"/>
          <w:szCs w:val="36"/>
          <w:highlight w:val="none"/>
        </w:rPr>
        <w:t>目    录</w:t>
      </w:r>
      <w:bookmarkEnd w:id="22"/>
    </w:p>
    <w:p>
      <w:pPr>
        <w:rPr>
          <w:rFonts w:hint="eastAsia" w:ascii="仿宋" w:hAnsi="仿宋" w:eastAsia="仿宋"/>
          <w:b w:val="0"/>
          <w:bCs/>
          <w:color w:val="auto"/>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ind w:firstLine="1440" w:firstLineChars="400"/>
        <w:textAlignment w:val="auto"/>
        <w:rPr>
          <w:rFonts w:hint="eastAsia" w:ascii="仿宋" w:hAnsi="仿宋" w:eastAsia="仿宋"/>
          <w:b w:val="0"/>
          <w:bCs/>
          <w:color w:val="auto"/>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ind w:firstLine="1440" w:firstLineChars="400"/>
        <w:textAlignment w:val="auto"/>
        <w:rPr>
          <w:rFonts w:hint="eastAsia" w:ascii="仿宋" w:hAnsi="仿宋" w:eastAsia="仿宋"/>
          <w:b w:val="0"/>
          <w:bCs/>
          <w:color w:val="auto"/>
          <w:kern w:val="0"/>
          <w:sz w:val="36"/>
          <w:szCs w:val="36"/>
          <w:highlight w:val="none"/>
        </w:rPr>
      </w:pPr>
      <w:r>
        <w:rPr>
          <w:rFonts w:hint="eastAsia" w:ascii="仿宋" w:hAnsi="仿宋" w:eastAsia="仿宋"/>
          <w:b w:val="0"/>
          <w:bCs/>
          <w:color w:val="auto"/>
          <w:kern w:val="0"/>
          <w:sz w:val="36"/>
          <w:szCs w:val="36"/>
          <w:highlight w:val="none"/>
        </w:rPr>
        <w:t>（1）承诺</w:t>
      </w:r>
      <w:r>
        <w:rPr>
          <w:rFonts w:hint="eastAsia" w:ascii="仿宋" w:hAnsi="仿宋" w:eastAsia="仿宋"/>
          <w:b w:val="0"/>
          <w:bCs/>
          <w:color w:val="auto"/>
          <w:kern w:val="0"/>
          <w:sz w:val="36"/>
          <w:szCs w:val="36"/>
          <w:highlight w:val="none"/>
          <w:lang w:val="en-US" w:eastAsia="zh-CN"/>
        </w:rPr>
        <w:t>函</w:t>
      </w:r>
      <w:r>
        <w:rPr>
          <w:rFonts w:hint="eastAsia" w:ascii="仿宋" w:hAnsi="仿宋" w:eastAsia="仿宋"/>
          <w:b w:val="0"/>
          <w:bCs/>
          <w:color w:val="auto"/>
          <w:kern w:val="0"/>
          <w:sz w:val="36"/>
          <w:szCs w:val="36"/>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auto"/>
        <w:ind w:firstLine="1440" w:firstLineChars="400"/>
        <w:textAlignment w:val="auto"/>
        <w:rPr>
          <w:rFonts w:hint="eastAsia" w:ascii="仿宋" w:hAnsi="仿宋" w:eastAsia="仿宋"/>
          <w:b w:val="0"/>
          <w:bCs/>
          <w:color w:val="auto"/>
          <w:kern w:val="0"/>
          <w:sz w:val="36"/>
          <w:szCs w:val="36"/>
          <w:highlight w:val="none"/>
        </w:rPr>
      </w:pPr>
      <w:r>
        <w:rPr>
          <w:rFonts w:hint="eastAsia" w:ascii="仿宋" w:hAnsi="仿宋" w:eastAsia="仿宋"/>
          <w:b w:val="0"/>
          <w:bCs/>
          <w:color w:val="auto"/>
          <w:kern w:val="0"/>
          <w:sz w:val="36"/>
          <w:szCs w:val="36"/>
          <w:highlight w:val="none"/>
        </w:rPr>
        <w:t>（2）法定代表人身份证明</w:t>
      </w:r>
      <w:r>
        <w:rPr>
          <w:rFonts w:hint="eastAsia" w:ascii="仿宋" w:hAnsi="仿宋" w:eastAsia="仿宋"/>
          <w:b w:val="0"/>
          <w:bCs/>
          <w:color w:val="auto"/>
          <w:kern w:val="0"/>
          <w:sz w:val="36"/>
          <w:szCs w:val="36"/>
          <w:highlight w:val="none"/>
          <w:lang w:val="en-US" w:eastAsia="zh-CN"/>
        </w:rPr>
        <w:t>/</w:t>
      </w:r>
      <w:r>
        <w:rPr>
          <w:rFonts w:hint="eastAsia" w:ascii="仿宋" w:hAnsi="仿宋" w:eastAsia="仿宋"/>
          <w:b w:val="0"/>
          <w:bCs/>
          <w:color w:val="auto"/>
          <w:kern w:val="0"/>
          <w:sz w:val="36"/>
          <w:szCs w:val="36"/>
          <w:highlight w:val="none"/>
        </w:rPr>
        <w:t>授权委托书；</w:t>
      </w:r>
    </w:p>
    <w:p>
      <w:pPr>
        <w:keepNext w:val="0"/>
        <w:keepLines w:val="0"/>
        <w:pageBreakBefore w:val="0"/>
        <w:widowControl w:val="0"/>
        <w:kinsoku/>
        <w:wordWrap/>
        <w:overflowPunct/>
        <w:topLinePunct w:val="0"/>
        <w:autoSpaceDE/>
        <w:autoSpaceDN/>
        <w:bidi w:val="0"/>
        <w:adjustRightInd w:val="0"/>
        <w:snapToGrid w:val="0"/>
        <w:spacing w:line="480" w:lineRule="auto"/>
        <w:ind w:firstLine="1440" w:firstLineChars="400"/>
        <w:textAlignment w:val="auto"/>
        <w:rPr>
          <w:rFonts w:hint="eastAsia" w:ascii="仿宋" w:hAnsi="仿宋" w:eastAsia="仿宋"/>
          <w:b w:val="0"/>
          <w:bCs/>
          <w:color w:val="auto"/>
          <w:kern w:val="0"/>
          <w:sz w:val="36"/>
          <w:szCs w:val="36"/>
          <w:highlight w:val="none"/>
        </w:rPr>
      </w:pPr>
      <w:r>
        <w:rPr>
          <w:rFonts w:hint="eastAsia" w:ascii="仿宋" w:hAnsi="仿宋" w:eastAsia="仿宋"/>
          <w:b w:val="0"/>
          <w:bCs/>
          <w:color w:val="auto"/>
          <w:kern w:val="0"/>
          <w:sz w:val="36"/>
          <w:szCs w:val="36"/>
          <w:highlight w:val="none"/>
        </w:rPr>
        <w:t>（3）资格</w:t>
      </w:r>
      <w:r>
        <w:rPr>
          <w:rFonts w:hint="eastAsia" w:ascii="仿宋" w:hAnsi="仿宋" w:eastAsia="仿宋"/>
          <w:b w:val="0"/>
          <w:bCs/>
          <w:color w:val="auto"/>
          <w:kern w:val="0"/>
          <w:sz w:val="36"/>
          <w:szCs w:val="36"/>
          <w:highlight w:val="none"/>
          <w:lang w:val="en-US" w:eastAsia="zh-CN"/>
        </w:rPr>
        <w:t>审查</w:t>
      </w:r>
      <w:r>
        <w:rPr>
          <w:rFonts w:hint="eastAsia" w:ascii="仿宋" w:hAnsi="仿宋" w:eastAsia="仿宋"/>
          <w:b w:val="0"/>
          <w:bCs/>
          <w:color w:val="auto"/>
          <w:kern w:val="0"/>
          <w:sz w:val="36"/>
          <w:szCs w:val="36"/>
          <w:highlight w:val="none"/>
        </w:rPr>
        <w:t>资料；</w:t>
      </w:r>
    </w:p>
    <w:p>
      <w:pPr>
        <w:keepNext w:val="0"/>
        <w:keepLines w:val="0"/>
        <w:pageBreakBefore w:val="0"/>
        <w:widowControl w:val="0"/>
        <w:kinsoku/>
        <w:wordWrap/>
        <w:overflowPunct/>
        <w:topLinePunct w:val="0"/>
        <w:autoSpaceDE/>
        <w:autoSpaceDN/>
        <w:bidi w:val="0"/>
        <w:adjustRightInd w:val="0"/>
        <w:snapToGrid w:val="0"/>
        <w:spacing w:line="480" w:lineRule="auto"/>
        <w:ind w:firstLine="1440" w:firstLineChars="400"/>
        <w:textAlignment w:val="auto"/>
        <w:rPr>
          <w:rFonts w:hint="eastAsia" w:ascii="仿宋" w:hAnsi="仿宋" w:eastAsia="仿宋"/>
          <w:b w:val="0"/>
          <w:bCs/>
          <w:color w:val="auto"/>
          <w:kern w:val="0"/>
          <w:sz w:val="36"/>
          <w:szCs w:val="36"/>
          <w:highlight w:val="none"/>
          <w:lang w:val="en-US" w:eastAsia="zh-CN"/>
        </w:rPr>
      </w:pPr>
      <w:r>
        <w:rPr>
          <w:rFonts w:hint="eastAsia" w:ascii="仿宋" w:hAnsi="仿宋" w:eastAsia="仿宋"/>
          <w:b w:val="0"/>
          <w:bCs/>
          <w:color w:val="auto"/>
          <w:kern w:val="0"/>
          <w:sz w:val="36"/>
          <w:szCs w:val="36"/>
          <w:highlight w:val="none"/>
        </w:rPr>
        <w:t>（4）</w:t>
      </w:r>
      <w:r>
        <w:rPr>
          <w:rFonts w:hint="eastAsia" w:ascii="仿宋" w:hAnsi="仿宋" w:eastAsia="仿宋"/>
          <w:b w:val="0"/>
          <w:bCs/>
          <w:color w:val="auto"/>
          <w:kern w:val="0"/>
          <w:sz w:val="36"/>
          <w:szCs w:val="36"/>
          <w:highlight w:val="none"/>
          <w:lang w:val="en-US" w:eastAsia="zh-CN"/>
        </w:rPr>
        <w:t>报价一览表</w:t>
      </w:r>
    </w:p>
    <w:p>
      <w:pPr>
        <w:keepNext w:val="0"/>
        <w:keepLines w:val="0"/>
        <w:pageBreakBefore w:val="0"/>
        <w:widowControl w:val="0"/>
        <w:kinsoku/>
        <w:wordWrap/>
        <w:overflowPunct/>
        <w:topLinePunct w:val="0"/>
        <w:autoSpaceDE/>
        <w:autoSpaceDN/>
        <w:bidi w:val="0"/>
        <w:adjustRightInd w:val="0"/>
        <w:snapToGrid w:val="0"/>
        <w:spacing w:line="480" w:lineRule="auto"/>
        <w:ind w:firstLine="1440" w:firstLineChars="400"/>
        <w:textAlignment w:val="auto"/>
        <w:rPr>
          <w:rFonts w:hint="eastAsia" w:ascii="仿宋" w:hAnsi="仿宋" w:eastAsia="仿宋"/>
          <w:b w:val="0"/>
          <w:bCs/>
          <w:color w:val="auto"/>
          <w:kern w:val="0"/>
          <w:sz w:val="36"/>
          <w:szCs w:val="36"/>
          <w:highlight w:val="none"/>
          <w:lang w:eastAsia="zh-CN"/>
        </w:rPr>
        <w:sectPr>
          <w:footerReference r:id="rId5" w:type="default"/>
          <w:pgSz w:w="11906" w:h="16838"/>
          <w:pgMar w:top="2098" w:right="1587" w:bottom="1587" w:left="158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b w:val="0"/>
          <w:bCs/>
          <w:color w:val="auto"/>
          <w:kern w:val="0"/>
          <w:sz w:val="36"/>
          <w:szCs w:val="36"/>
          <w:highlight w:val="none"/>
        </w:rPr>
        <w:t>（</w:t>
      </w:r>
      <w:r>
        <w:rPr>
          <w:rFonts w:hint="eastAsia" w:ascii="仿宋" w:hAnsi="仿宋" w:eastAsia="仿宋"/>
          <w:b w:val="0"/>
          <w:bCs/>
          <w:color w:val="auto"/>
          <w:kern w:val="0"/>
          <w:sz w:val="36"/>
          <w:szCs w:val="36"/>
          <w:highlight w:val="none"/>
          <w:lang w:val="en-US" w:eastAsia="zh-CN"/>
        </w:rPr>
        <w:t>5</w:t>
      </w:r>
      <w:r>
        <w:rPr>
          <w:rFonts w:hint="eastAsia" w:ascii="仿宋" w:hAnsi="仿宋" w:eastAsia="仿宋"/>
          <w:b w:val="0"/>
          <w:bCs/>
          <w:color w:val="auto"/>
          <w:kern w:val="0"/>
          <w:sz w:val="36"/>
          <w:szCs w:val="36"/>
          <w:highlight w:val="none"/>
        </w:rPr>
        <w:t>）</w:t>
      </w:r>
      <w:r>
        <w:rPr>
          <w:rFonts w:hint="eastAsia" w:ascii="仿宋" w:hAnsi="仿宋" w:eastAsia="仿宋"/>
          <w:b w:val="0"/>
          <w:bCs/>
          <w:color w:val="auto"/>
          <w:kern w:val="0"/>
          <w:sz w:val="36"/>
          <w:szCs w:val="36"/>
          <w:highlight w:val="none"/>
          <w:lang w:val="en-US" w:eastAsia="zh-CN"/>
        </w:rPr>
        <w:t>分项价格表</w:t>
      </w:r>
      <w:r>
        <w:rPr>
          <w:rFonts w:hint="eastAsia" w:ascii="仿宋" w:hAnsi="仿宋" w:eastAsia="仿宋"/>
          <w:b w:val="0"/>
          <w:bCs/>
          <w:color w:val="auto"/>
          <w:kern w:val="0"/>
          <w:sz w:val="36"/>
          <w:szCs w:val="36"/>
          <w:highlight w:val="none"/>
          <w:lang w:eastAsia="zh-CN"/>
        </w:rPr>
        <w:t>。</w:t>
      </w:r>
    </w:p>
    <w:p>
      <w:pPr>
        <w:ind w:firstLine="3534" w:firstLineChars="1100"/>
        <w:outlineLvl w:val="9"/>
        <w:rPr>
          <w:rFonts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一、承诺函</w:t>
      </w:r>
      <w:bookmarkEnd w:id="9"/>
      <w:bookmarkEnd w:id="10"/>
      <w:bookmarkEnd w:id="11"/>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（招选人名称）：</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1．我方已仔细研究了</w:t>
      </w:r>
      <w:r>
        <w:rPr>
          <w:rFonts w:hint="eastAsia" w:ascii="仿宋" w:hAnsi="仿宋" w:eastAsia="仿宋" w:cs="仿宋"/>
          <w:color w:val="auto"/>
          <w:sz w:val="24"/>
          <w:szCs w:val="24"/>
          <w:highlight w:val="none"/>
          <w:u w:val="single"/>
          <w:lang w:val="en-US" w:eastAsia="zh-CN"/>
        </w:rPr>
        <w:t xml:space="preserve"> 2024年应急物资采购、建筑消防设施检测、消防器材维保服务采购项目</w:t>
      </w:r>
      <w:r>
        <w:rPr>
          <w:rFonts w:hint="eastAsia" w:ascii="仿宋" w:hAnsi="仿宋" w:eastAsia="仿宋" w:cs="仿宋"/>
          <w:color w:val="auto"/>
          <w:sz w:val="24"/>
          <w:szCs w:val="24"/>
          <w:highlight w:val="none"/>
        </w:rPr>
        <w:t>竞价公告的全部内容，</w:t>
      </w:r>
      <w:r>
        <w:rPr>
          <w:rFonts w:hint="eastAsia" w:ascii="仿宋" w:hAnsi="仿宋" w:eastAsia="仿宋" w:cs="仿宋"/>
          <w:color w:val="auto"/>
          <w:sz w:val="24"/>
          <w:szCs w:val="24"/>
          <w:highlight w:val="none"/>
          <w:lang w:val="en-US" w:eastAsia="zh-CN"/>
        </w:rPr>
        <w:t>愿意以人民币（大写）：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的报价（采购部分税率为13%，服务部分税率为6%），服务（供货）期限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日历天，按合同约定完成服务工作</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2．我方的报价文件包括下列内容：</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bookmarkStart w:id="23" w:name="_Toc29403_WPSOffice_Level3"/>
      <w:r>
        <w:rPr>
          <w:rFonts w:hint="eastAsia" w:ascii="仿宋" w:hAnsi="仿宋" w:eastAsia="仿宋" w:cs="仿宋"/>
          <w:color w:val="auto"/>
          <w:sz w:val="24"/>
          <w:szCs w:val="24"/>
          <w:highlight w:val="none"/>
        </w:rPr>
        <w:t>（1）承诺函；</w:t>
      </w:r>
      <w:bookmarkEnd w:id="23"/>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bookmarkStart w:id="24" w:name="_Toc19532_WPSOffice_Level3"/>
      <w:r>
        <w:rPr>
          <w:rFonts w:hint="eastAsia" w:ascii="仿宋" w:hAnsi="仿宋" w:eastAsia="仿宋" w:cs="仿宋"/>
          <w:color w:val="auto"/>
          <w:sz w:val="24"/>
          <w:szCs w:val="24"/>
          <w:highlight w:val="none"/>
        </w:rPr>
        <w:t>（2）法定代表人身份证明/授权委托书；</w:t>
      </w:r>
      <w:bookmarkEnd w:id="24"/>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bookmarkStart w:id="25" w:name="_Toc22917_WPSOffice_Level3"/>
      <w:r>
        <w:rPr>
          <w:rFonts w:hint="eastAsia" w:ascii="仿宋" w:hAnsi="仿宋" w:eastAsia="仿宋" w:cs="仿宋"/>
          <w:color w:val="auto"/>
          <w:sz w:val="24"/>
          <w:szCs w:val="24"/>
          <w:highlight w:val="none"/>
        </w:rPr>
        <w:t>（3）</w:t>
      </w:r>
      <w:bookmarkEnd w:id="25"/>
      <w:r>
        <w:rPr>
          <w:rFonts w:hint="eastAsia" w:ascii="仿宋" w:hAnsi="仿宋" w:eastAsia="仿宋" w:cs="仿宋"/>
          <w:color w:val="auto"/>
          <w:sz w:val="24"/>
          <w:szCs w:val="24"/>
          <w:highlight w:val="none"/>
        </w:rPr>
        <w:t>资格审查资料；</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bookmarkStart w:id="26" w:name="_Toc18853_WPSOffice_Level3"/>
      <w:r>
        <w:rPr>
          <w:rFonts w:hint="eastAsia" w:ascii="仿宋" w:hAnsi="仿宋" w:eastAsia="仿宋" w:cs="仿宋"/>
          <w:color w:val="auto"/>
          <w:sz w:val="24"/>
          <w:szCs w:val="24"/>
          <w:highlight w:val="none"/>
        </w:rPr>
        <w:t>（4）</w:t>
      </w:r>
      <w:bookmarkEnd w:id="26"/>
      <w:r>
        <w:rPr>
          <w:rFonts w:hint="eastAsia" w:ascii="仿宋" w:hAnsi="仿宋" w:eastAsia="仿宋" w:cs="仿宋"/>
          <w:color w:val="auto"/>
          <w:sz w:val="24"/>
          <w:szCs w:val="24"/>
          <w:highlight w:val="none"/>
        </w:rPr>
        <w:t>报价一览表；</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报价文件的上述组成部分如存在内容不一致的，以承诺函为准。</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3.我方承诺在竞价公告规定的报价响应有效期内不撤销报价文件。</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4．如我方中选，我方承诺：</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（1）在收到中选通知书后，在中选通知书规定的期限内与你方签订合同；</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（2）在签订合同时不向你方提出附加条件；</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（3）在合同约定的期限内完成合同规定的全部义务。如果发生不履行相关义务的行为，自愿接受按长沙城市发展集团有限公司有关规定作出的处理。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我方在此声明，所递交的报价文件及有关资料内容完整、真实和准确。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u w:val="single"/>
        </w:rPr>
        <w:t xml:space="preserve"> （其他补充说明）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center"/>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center"/>
        <w:textAlignment w:val="auto"/>
        <w:outlineLvl w:val="9"/>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报 价 单 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盖单位公章</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center"/>
        <w:textAlignment w:val="auto"/>
        <w:outlineLvl w:val="9"/>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 xml:space="preserve">（签字）     </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center"/>
        <w:textAlignment w:val="auto"/>
        <w:outlineLvl w:val="9"/>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center"/>
        <w:textAlignment w:val="auto"/>
        <w:outlineLvl w:val="9"/>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网址：</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center"/>
        <w:textAlignment w:val="auto"/>
        <w:outlineLvl w:val="9"/>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center"/>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center"/>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center"/>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ind w:firstLine="560" w:firstLineChars="200"/>
        <w:jc w:val="center"/>
        <w:outlineLvl w:val="9"/>
        <w:rPr>
          <w:rFonts w:ascii="仿宋" w:hAnsi="仿宋" w:eastAsia="仿宋" w:cs="仿宋"/>
          <w:color w:val="auto"/>
          <w:sz w:val="28"/>
          <w:szCs w:val="28"/>
          <w:highlight w:val="none"/>
        </w:rPr>
      </w:pPr>
    </w:p>
    <w:p>
      <w:pPr>
        <w:ind w:firstLine="560" w:firstLineChars="200"/>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spacing w:before="156"/>
        <w:jc w:val="center"/>
        <w:outlineLvl w:val="9"/>
        <w:rPr>
          <w:rFonts w:ascii="仿宋" w:hAnsi="仿宋" w:eastAsia="仿宋"/>
          <w:bCs w:val="0"/>
          <w:color w:val="auto"/>
          <w:sz w:val="32"/>
          <w:highlight w:val="none"/>
        </w:rPr>
      </w:pPr>
      <w:bookmarkStart w:id="27" w:name="_Toc419961516"/>
      <w:bookmarkStart w:id="28" w:name="_Toc24100649"/>
      <w:bookmarkStart w:id="29" w:name="_Toc24100580"/>
      <w:r>
        <w:rPr>
          <w:rFonts w:hint="eastAsia" w:ascii="仿宋" w:hAnsi="仿宋" w:eastAsia="仿宋"/>
          <w:bCs w:val="0"/>
          <w:color w:val="auto"/>
          <w:sz w:val="32"/>
          <w:highlight w:val="none"/>
        </w:rPr>
        <w:t>二、法定代表人身份证明</w:t>
      </w:r>
      <w:bookmarkEnd w:id="27"/>
      <w:bookmarkEnd w:id="28"/>
      <w:bookmarkEnd w:id="29"/>
    </w:p>
    <w:p>
      <w:pPr>
        <w:widowControl/>
        <w:spacing w:line="400" w:lineRule="atLeast"/>
        <w:outlineLvl w:val="9"/>
        <w:rPr>
          <w:rFonts w:ascii="仿宋" w:hAnsi="仿宋" w:eastAsia="仿宋"/>
          <w:color w:val="auto"/>
          <w:kern w:val="0"/>
          <w:szCs w:val="21"/>
          <w:highlight w:val="none"/>
        </w:rPr>
      </w:pPr>
    </w:p>
    <w:p>
      <w:pPr>
        <w:keepNext w:val="0"/>
        <w:keepLines w:val="0"/>
        <w:pageBreakBefore w:val="0"/>
        <w:widowControl/>
        <w:kinsoku/>
        <w:wordWrap/>
        <w:overflowPunct/>
        <w:topLinePunct/>
        <w:autoSpaceDE/>
        <w:autoSpaceDN/>
        <w:bidi w:val="0"/>
        <w:adjustRightInd/>
        <w:snapToGrid/>
        <w:spacing w:line="360" w:lineRule="auto"/>
        <w:ind w:firstLine="420"/>
        <w:textAlignment w:val="auto"/>
        <w:outlineLvl w:val="9"/>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报价单位名称：</w:t>
      </w:r>
      <w:r>
        <w:rPr>
          <w:rFonts w:hint="eastAsia" w:ascii="仿宋" w:hAnsi="仿宋" w:eastAsia="仿宋"/>
          <w:color w:val="auto"/>
          <w:kern w:val="0"/>
          <w:sz w:val="24"/>
          <w:szCs w:val="24"/>
          <w:highlight w:val="none"/>
          <w:u w:val="single"/>
        </w:rPr>
        <w:t xml:space="preserve">                         </w:t>
      </w:r>
    </w:p>
    <w:p>
      <w:pPr>
        <w:keepNext w:val="0"/>
        <w:keepLines w:val="0"/>
        <w:pageBreakBefore w:val="0"/>
        <w:widowControl/>
        <w:kinsoku/>
        <w:wordWrap/>
        <w:overflowPunct/>
        <w:topLinePunct/>
        <w:autoSpaceDE/>
        <w:autoSpaceDN/>
        <w:bidi w:val="0"/>
        <w:adjustRightInd/>
        <w:snapToGrid/>
        <w:spacing w:line="360" w:lineRule="auto"/>
        <w:ind w:firstLine="420"/>
        <w:textAlignment w:val="auto"/>
        <w:outlineLvl w:val="9"/>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单位性质：</w:t>
      </w:r>
      <w:r>
        <w:rPr>
          <w:rFonts w:hint="eastAsia" w:ascii="仿宋" w:hAnsi="仿宋" w:eastAsia="仿宋"/>
          <w:color w:val="auto"/>
          <w:kern w:val="0"/>
          <w:sz w:val="24"/>
          <w:szCs w:val="24"/>
          <w:highlight w:val="none"/>
          <w:u w:val="single"/>
        </w:rPr>
        <w:t xml:space="preserve">                           </w:t>
      </w:r>
    </w:p>
    <w:p>
      <w:pPr>
        <w:keepNext w:val="0"/>
        <w:keepLines w:val="0"/>
        <w:pageBreakBefore w:val="0"/>
        <w:widowControl/>
        <w:kinsoku/>
        <w:wordWrap/>
        <w:overflowPunct/>
        <w:topLinePunct/>
        <w:autoSpaceDE/>
        <w:autoSpaceDN/>
        <w:bidi w:val="0"/>
        <w:adjustRightInd/>
        <w:snapToGrid/>
        <w:spacing w:line="360" w:lineRule="auto"/>
        <w:ind w:firstLine="420"/>
        <w:textAlignment w:val="auto"/>
        <w:outlineLvl w:val="9"/>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成立时间：</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年</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月</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日</w:t>
      </w:r>
    </w:p>
    <w:p>
      <w:pPr>
        <w:keepNext w:val="0"/>
        <w:keepLines w:val="0"/>
        <w:pageBreakBefore w:val="0"/>
        <w:widowControl/>
        <w:kinsoku/>
        <w:wordWrap/>
        <w:overflowPunct/>
        <w:topLinePunct/>
        <w:autoSpaceDE/>
        <w:autoSpaceDN/>
        <w:bidi w:val="0"/>
        <w:adjustRightInd/>
        <w:snapToGrid/>
        <w:spacing w:line="360" w:lineRule="auto"/>
        <w:ind w:firstLine="420"/>
        <w:textAlignment w:val="auto"/>
        <w:outlineLvl w:val="9"/>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经营期限：</w:t>
      </w:r>
      <w:r>
        <w:rPr>
          <w:rFonts w:hint="eastAsia" w:ascii="仿宋" w:hAnsi="仿宋" w:eastAsia="仿宋"/>
          <w:color w:val="auto"/>
          <w:kern w:val="0"/>
          <w:sz w:val="24"/>
          <w:szCs w:val="24"/>
          <w:highlight w:val="none"/>
          <w:u w:val="single"/>
        </w:rPr>
        <w:t xml:space="preserve">            </w:t>
      </w:r>
    </w:p>
    <w:p>
      <w:pPr>
        <w:keepNext w:val="0"/>
        <w:keepLines w:val="0"/>
        <w:pageBreakBefore w:val="0"/>
        <w:widowControl/>
        <w:kinsoku/>
        <w:wordWrap/>
        <w:overflowPunct/>
        <w:topLinePunct/>
        <w:autoSpaceDE/>
        <w:autoSpaceDN/>
        <w:bidi w:val="0"/>
        <w:adjustRightInd/>
        <w:snapToGrid/>
        <w:spacing w:line="360" w:lineRule="auto"/>
        <w:ind w:firstLine="420"/>
        <w:textAlignment w:val="auto"/>
        <w:outlineLvl w:val="9"/>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姓名：</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性别：</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年龄：</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职务：</w:t>
      </w:r>
      <w:r>
        <w:rPr>
          <w:rFonts w:hint="eastAsia" w:ascii="仿宋" w:hAnsi="仿宋" w:eastAsia="仿宋"/>
          <w:color w:val="auto"/>
          <w:kern w:val="0"/>
          <w:sz w:val="24"/>
          <w:szCs w:val="24"/>
          <w:highlight w:val="none"/>
          <w:u w:val="single"/>
        </w:rPr>
        <w:t xml:space="preserve">         </w:t>
      </w:r>
    </w:p>
    <w:p>
      <w:pPr>
        <w:keepNext w:val="0"/>
        <w:keepLines w:val="0"/>
        <w:pageBreakBefore w:val="0"/>
        <w:widowControl/>
        <w:kinsoku/>
        <w:wordWrap/>
        <w:overflowPunct/>
        <w:topLinePunct/>
        <w:autoSpaceDE/>
        <w:autoSpaceDN/>
        <w:bidi w:val="0"/>
        <w:adjustRightInd/>
        <w:snapToGrid/>
        <w:spacing w:line="360" w:lineRule="auto"/>
        <w:ind w:firstLine="420"/>
        <w:textAlignment w:val="auto"/>
        <w:outlineLvl w:val="9"/>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系</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（报价单位名称）的法定代表人。</w:t>
      </w:r>
    </w:p>
    <w:p>
      <w:pPr>
        <w:keepNext w:val="0"/>
        <w:keepLines w:val="0"/>
        <w:pageBreakBefore w:val="0"/>
        <w:widowControl/>
        <w:kinsoku/>
        <w:wordWrap/>
        <w:overflowPunct/>
        <w:topLinePunct/>
        <w:autoSpaceDE/>
        <w:autoSpaceDN/>
        <w:bidi w:val="0"/>
        <w:adjustRightInd/>
        <w:snapToGrid/>
        <w:spacing w:line="360" w:lineRule="auto"/>
        <w:ind w:firstLine="420"/>
        <w:textAlignment w:val="auto"/>
        <w:outlineLvl w:val="9"/>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特此证明。</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3"/>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4133" w:type="dxa"/>
            <w:vAlign w:val="center"/>
          </w:tcPr>
          <w:p>
            <w:pPr>
              <w:keepNext w:val="0"/>
              <w:keepLines w:val="0"/>
              <w:pageBreakBefore w:val="0"/>
              <w:widowControl/>
              <w:kinsoku/>
              <w:wordWrap/>
              <w:overflowPunct/>
              <w:topLinePunct/>
              <w:autoSpaceDE/>
              <w:autoSpaceDN/>
              <w:bidi w:val="0"/>
              <w:adjustRightInd/>
              <w:snapToGrid/>
              <w:spacing w:line="360" w:lineRule="auto"/>
              <w:textAlignment w:val="auto"/>
              <w:outlineLvl w:val="9"/>
              <w:rPr>
                <w:rFonts w:ascii="仿宋" w:hAnsi="仿宋" w:eastAsia="仿宋"/>
                <w:color w:val="auto"/>
                <w:kern w:val="0"/>
                <w:sz w:val="21"/>
                <w:szCs w:val="21"/>
                <w:highlight w:val="none"/>
              </w:rPr>
            </w:pPr>
            <w:r>
              <w:rPr>
                <w:rFonts w:ascii="仿宋" w:hAnsi="仿宋" w:eastAsia="仿宋"/>
                <w:color w:val="auto"/>
                <w:kern w:val="0"/>
                <w:sz w:val="21"/>
                <w:szCs w:val="21"/>
                <w:highlight w:val="none"/>
              </w:rPr>
              <w:t>法定代表人二代身份证复印件（正面）</w:t>
            </w:r>
          </w:p>
        </w:tc>
        <w:tc>
          <w:tcPr>
            <w:tcW w:w="3926" w:type="dxa"/>
            <w:vAlign w:val="center"/>
          </w:tcPr>
          <w:p>
            <w:pPr>
              <w:keepNext w:val="0"/>
              <w:keepLines w:val="0"/>
              <w:pageBreakBefore w:val="0"/>
              <w:widowControl/>
              <w:kinsoku/>
              <w:wordWrap/>
              <w:overflowPunct/>
              <w:topLinePunct/>
              <w:autoSpaceDE/>
              <w:autoSpaceDN/>
              <w:bidi w:val="0"/>
              <w:adjustRightInd/>
              <w:snapToGrid/>
              <w:spacing w:line="360" w:lineRule="auto"/>
              <w:textAlignment w:val="auto"/>
              <w:outlineLvl w:val="9"/>
              <w:rPr>
                <w:rFonts w:ascii="仿宋" w:hAnsi="仿宋" w:eastAsia="仿宋"/>
                <w:color w:val="auto"/>
                <w:kern w:val="0"/>
                <w:sz w:val="21"/>
                <w:szCs w:val="21"/>
                <w:highlight w:val="none"/>
              </w:rPr>
            </w:pPr>
            <w:r>
              <w:rPr>
                <w:rFonts w:ascii="仿宋" w:hAnsi="仿宋" w:eastAsia="仿宋"/>
                <w:color w:val="auto"/>
                <w:kern w:val="0"/>
                <w:sz w:val="21"/>
                <w:szCs w:val="21"/>
                <w:highlight w:val="none"/>
              </w:rPr>
              <w:t>法定代表人二代身份证复印件（反面）</w:t>
            </w:r>
          </w:p>
        </w:tc>
      </w:tr>
    </w:tbl>
    <w:p>
      <w:pPr>
        <w:keepNext w:val="0"/>
        <w:keepLines w:val="0"/>
        <w:pageBreakBefore w:val="0"/>
        <w:widowControl/>
        <w:kinsoku/>
        <w:wordWrap/>
        <w:overflowPunct/>
        <w:topLinePunct/>
        <w:autoSpaceDE/>
        <w:autoSpaceDN/>
        <w:bidi w:val="0"/>
        <w:adjustRightInd/>
        <w:snapToGrid/>
        <w:spacing w:line="360" w:lineRule="auto"/>
        <w:textAlignment w:val="auto"/>
        <w:outlineLvl w:val="9"/>
        <w:rPr>
          <w:rFonts w:ascii="仿宋" w:hAnsi="仿宋" w:eastAsia="仿宋"/>
          <w:color w:val="auto"/>
          <w:kern w:val="0"/>
          <w:sz w:val="28"/>
          <w:szCs w:val="28"/>
          <w:highlight w:val="none"/>
        </w:rPr>
      </w:pPr>
    </w:p>
    <w:p>
      <w:pPr>
        <w:keepNext w:val="0"/>
        <w:keepLines w:val="0"/>
        <w:pageBreakBefore w:val="0"/>
        <w:widowControl/>
        <w:kinsoku/>
        <w:wordWrap/>
        <w:overflowPunct/>
        <w:topLinePunct/>
        <w:autoSpaceDE/>
        <w:autoSpaceDN/>
        <w:bidi w:val="0"/>
        <w:adjustRightInd/>
        <w:snapToGrid/>
        <w:spacing w:line="360" w:lineRule="auto"/>
        <w:textAlignment w:val="auto"/>
        <w:outlineLvl w:val="9"/>
        <w:rPr>
          <w:rFonts w:ascii="仿宋" w:hAnsi="仿宋" w:eastAsia="仿宋"/>
          <w:color w:val="auto"/>
          <w:kern w:val="0"/>
          <w:sz w:val="28"/>
          <w:szCs w:val="28"/>
          <w:highlight w:val="none"/>
        </w:rPr>
      </w:pPr>
    </w:p>
    <w:p>
      <w:pPr>
        <w:pStyle w:val="9"/>
        <w:rPr>
          <w:highlight w:val="none"/>
        </w:rPr>
      </w:pPr>
    </w:p>
    <w:p>
      <w:pPr>
        <w:keepNext w:val="0"/>
        <w:keepLines w:val="0"/>
        <w:pageBreakBefore w:val="0"/>
        <w:widowControl/>
        <w:kinsoku/>
        <w:wordWrap/>
        <w:overflowPunct/>
        <w:topLinePunct/>
        <w:autoSpaceDE/>
        <w:autoSpaceDN/>
        <w:bidi w:val="0"/>
        <w:adjustRightInd/>
        <w:snapToGrid/>
        <w:spacing w:line="360" w:lineRule="auto"/>
        <w:textAlignment w:val="auto"/>
        <w:outlineLvl w:val="9"/>
        <w:rPr>
          <w:rFonts w:ascii="仿宋" w:hAnsi="仿宋" w:eastAsia="仿宋"/>
          <w:color w:val="auto"/>
          <w:kern w:val="0"/>
          <w:sz w:val="24"/>
          <w:szCs w:val="24"/>
          <w:highlight w:val="none"/>
        </w:rPr>
      </w:pP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4"/>
          <w:szCs w:val="24"/>
          <w:highlight w:val="none"/>
        </w:rPr>
        <w:t xml:space="preserve">         报价单位：</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w:t>
      </w:r>
      <w:r>
        <w:rPr>
          <w:rFonts w:hint="eastAsia" w:ascii="仿宋" w:hAnsi="仿宋" w:eastAsia="仿宋"/>
          <w:color w:val="auto"/>
          <w:kern w:val="0"/>
          <w:sz w:val="24"/>
          <w:szCs w:val="24"/>
          <w:highlight w:val="none"/>
          <w:lang w:eastAsia="zh-CN"/>
        </w:rPr>
        <w:t>盖单位公章</w:t>
      </w:r>
      <w:r>
        <w:rPr>
          <w:rFonts w:hint="eastAsia" w:ascii="仿宋" w:hAnsi="仿宋" w:eastAsia="仿宋"/>
          <w:color w:val="auto"/>
          <w:kern w:val="0"/>
          <w:sz w:val="24"/>
          <w:szCs w:val="24"/>
          <w:highlight w:val="none"/>
        </w:rPr>
        <w:t>）</w:t>
      </w:r>
    </w:p>
    <w:p>
      <w:pPr>
        <w:keepNext w:val="0"/>
        <w:keepLines w:val="0"/>
        <w:pageBreakBefore w:val="0"/>
        <w:widowControl/>
        <w:kinsoku/>
        <w:wordWrap/>
        <w:overflowPunct/>
        <w:topLinePunct/>
        <w:autoSpaceDE/>
        <w:autoSpaceDN/>
        <w:bidi w:val="0"/>
        <w:adjustRightInd/>
        <w:snapToGrid/>
        <w:spacing w:line="360" w:lineRule="auto"/>
        <w:textAlignment w:val="auto"/>
        <w:outlineLvl w:val="9"/>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w:t>
      </w:r>
    </w:p>
    <w:p>
      <w:pPr>
        <w:keepNext w:val="0"/>
        <w:keepLines w:val="0"/>
        <w:pageBreakBefore w:val="0"/>
        <w:widowControl/>
        <w:kinsoku/>
        <w:wordWrap/>
        <w:overflowPunct/>
        <w:topLinePunct/>
        <w:autoSpaceDE/>
        <w:autoSpaceDN/>
        <w:bidi w:val="0"/>
        <w:adjustRightInd/>
        <w:snapToGrid/>
        <w:spacing w:line="360" w:lineRule="auto"/>
        <w:ind w:firstLine="4560" w:firstLineChars="1900"/>
        <w:textAlignment w:val="auto"/>
        <w:outlineLvl w:val="9"/>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年</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月</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日</w:t>
      </w:r>
      <w:bookmarkStart w:id="30" w:name="_Toc300678571"/>
    </w:p>
    <w:p>
      <w:pPr>
        <w:keepNext w:val="0"/>
        <w:keepLines w:val="0"/>
        <w:pageBreakBefore w:val="0"/>
        <w:widowControl/>
        <w:kinsoku/>
        <w:wordWrap/>
        <w:overflowPunct/>
        <w:topLinePunct/>
        <w:autoSpaceDE/>
        <w:autoSpaceDN/>
        <w:bidi w:val="0"/>
        <w:adjustRightInd/>
        <w:snapToGrid/>
        <w:spacing w:line="360" w:lineRule="auto"/>
        <w:textAlignment w:val="auto"/>
        <w:outlineLvl w:val="9"/>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 xml:space="preserve"> </w:t>
      </w:r>
    </w:p>
    <w:p>
      <w:pPr>
        <w:keepNext w:val="0"/>
        <w:keepLines w:val="0"/>
        <w:pageBreakBefore w:val="0"/>
        <w:kinsoku/>
        <w:wordWrap/>
        <w:overflowPunct/>
        <w:autoSpaceDE/>
        <w:autoSpaceDN/>
        <w:bidi w:val="0"/>
        <w:adjustRightInd/>
        <w:snapToGrid/>
        <w:spacing w:before="156" w:line="360" w:lineRule="auto"/>
        <w:ind w:firstLine="482" w:firstLineChars="200"/>
        <w:textAlignment w:val="auto"/>
        <w:outlineLvl w:val="9"/>
        <w:rPr>
          <w:rFonts w:hint="eastAsia" w:ascii="仿宋" w:hAnsi="仿宋" w:eastAsia="仿宋"/>
          <w:b/>
          <w:bCs/>
          <w:color w:val="auto"/>
          <w:sz w:val="24"/>
          <w:highlight w:val="none"/>
        </w:rPr>
      </w:pPr>
    </w:p>
    <w:p>
      <w:pPr>
        <w:keepNext w:val="0"/>
        <w:keepLines w:val="0"/>
        <w:pageBreakBefore w:val="0"/>
        <w:kinsoku/>
        <w:wordWrap/>
        <w:overflowPunct/>
        <w:autoSpaceDE/>
        <w:autoSpaceDN/>
        <w:bidi w:val="0"/>
        <w:adjustRightInd/>
        <w:snapToGrid/>
        <w:spacing w:before="156" w:line="360" w:lineRule="auto"/>
        <w:ind w:firstLine="482" w:firstLineChars="200"/>
        <w:textAlignment w:val="auto"/>
        <w:outlineLvl w:val="9"/>
        <w:rPr>
          <w:rFonts w:hint="eastAsia" w:ascii="仿宋" w:hAnsi="仿宋" w:eastAsia="仿宋"/>
          <w:b/>
          <w:bCs/>
          <w:color w:val="auto"/>
          <w:sz w:val="24"/>
          <w:highlight w:val="none"/>
        </w:rPr>
      </w:pPr>
    </w:p>
    <w:p>
      <w:pPr>
        <w:keepNext w:val="0"/>
        <w:keepLines w:val="0"/>
        <w:pageBreakBefore w:val="0"/>
        <w:kinsoku/>
        <w:wordWrap/>
        <w:overflowPunct/>
        <w:autoSpaceDE/>
        <w:autoSpaceDN/>
        <w:bidi w:val="0"/>
        <w:adjustRightInd/>
        <w:snapToGrid/>
        <w:spacing w:before="156" w:line="360" w:lineRule="auto"/>
        <w:ind w:firstLine="482" w:firstLineChars="200"/>
        <w:textAlignment w:val="auto"/>
        <w:outlineLvl w:val="9"/>
        <w:rPr>
          <w:rFonts w:hint="eastAsia" w:ascii="仿宋" w:hAnsi="仿宋" w:eastAsia="仿宋"/>
          <w:b/>
          <w:bCs/>
          <w:color w:val="auto"/>
          <w:sz w:val="24"/>
          <w:highlight w:val="none"/>
        </w:rPr>
      </w:pPr>
    </w:p>
    <w:p>
      <w:pPr>
        <w:keepNext w:val="0"/>
        <w:keepLines w:val="0"/>
        <w:pageBreakBefore w:val="0"/>
        <w:kinsoku/>
        <w:wordWrap/>
        <w:overflowPunct/>
        <w:autoSpaceDE/>
        <w:autoSpaceDN/>
        <w:bidi w:val="0"/>
        <w:adjustRightInd/>
        <w:snapToGrid/>
        <w:spacing w:before="156" w:line="360" w:lineRule="auto"/>
        <w:ind w:firstLine="482" w:firstLineChars="200"/>
        <w:textAlignment w:val="auto"/>
        <w:outlineLvl w:val="9"/>
        <w:rPr>
          <w:rFonts w:hint="eastAsia" w:ascii="仿宋" w:hAnsi="仿宋" w:eastAsia="仿宋"/>
          <w:b/>
          <w:bCs/>
          <w:color w:val="auto"/>
          <w:sz w:val="24"/>
          <w:highlight w:val="none"/>
        </w:rPr>
      </w:pPr>
    </w:p>
    <w:p>
      <w:pPr>
        <w:keepNext w:val="0"/>
        <w:keepLines w:val="0"/>
        <w:pageBreakBefore w:val="0"/>
        <w:kinsoku/>
        <w:wordWrap/>
        <w:overflowPunct/>
        <w:autoSpaceDE/>
        <w:autoSpaceDN/>
        <w:bidi w:val="0"/>
        <w:adjustRightInd/>
        <w:snapToGrid/>
        <w:spacing w:before="156" w:line="360" w:lineRule="auto"/>
        <w:ind w:firstLine="482" w:firstLineChars="200"/>
        <w:textAlignment w:val="auto"/>
        <w:outlineLvl w:val="9"/>
        <w:rPr>
          <w:rFonts w:ascii="仿宋" w:hAnsi="仿宋" w:eastAsia="仿宋"/>
          <w:color w:val="auto"/>
          <w:sz w:val="24"/>
          <w:highlight w:val="none"/>
          <w:u w:val="single"/>
        </w:rPr>
      </w:pPr>
      <w:r>
        <w:rPr>
          <w:rFonts w:hint="eastAsia" w:ascii="仿宋" w:hAnsi="仿宋" w:eastAsia="仿宋"/>
          <w:b/>
          <w:bCs/>
          <w:color w:val="auto"/>
          <w:sz w:val="24"/>
          <w:highlight w:val="none"/>
        </w:rPr>
        <w:t>说明：由法定代表人参加开标会议的，</w:t>
      </w:r>
      <w:r>
        <w:rPr>
          <w:rFonts w:ascii="仿宋" w:hAnsi="仿宋" w:eastAsia="仿宋"/>
          <w:b/>
          <w:bCs/>
          <w:color w:val="auto"/>
          <w:sz w:val="24"/>
          <w:highlight w:val="none"/>
        </w:rPr>
        <w:t>请另</w:t>
      </w:r>
      <w:r>
        <w:rPr>
          <w:rFonts w:hint="eastAsia" w:ascii="仿宋" w:hAnsi="仿宋" w:eastAsia="仿宋"/>
          <w:b/>
          <w:bCs/>
          <w:color w:val="auto"/>
          <w:sz w:val="24"/>
          <w:highlight w:val="none"/>
        </w:rPr>
        <w:t>行</w:t>
      </w:r>
      <w:r>
        <w:rPr>
          <w:rFonts w:ascii="仿宋" w:hAnsi="仿宋" w:eastAsia="仿宋"/>
          <w:b/>
          <w:bCs/>
          <w:color w:val="auto"/>
          <w:sz w:val="24"/>
          <w:highlight w:val="none"/>
        </w:rPr>
        <w:t>准备</w:t>
      </w:r>
      <w:r>
        <w:rPr>
          <w:rFonts w:hint="eastAsia" w:ascii="仿宋" w:hAnsi="仿宋" w:eastAsia="仿宋"/>
          <w:b/>
          <w:bCs/>
          <w:color w:val="auto"/>
          <w:sz w:val="24"/>
          <w:highlight w:val="none"/>
        </w:rPr>
        <w:t>法定代表人身份证明</w:t>
      </w:r>
      <w:r>
        <w:rPr>
          <w:rFonts w:ascii="仿宋" w:hAnsi="仿宋" w:eastAsia="仿宋"/>
          <w:b/>
          <w:bCs/>
          <w:color w:val="auto"/>
          <w:sz w:val="24"/>
          <w:highlight w:val="none"/>
        </w:rPr>
        <w:t>原件一份，</w:t>
      </w:r>
      <w:r>
        <w:rPr>
          <w:rFonts w:hint="eastAsia" w:ascii="仿宋" w:hAnsi="仿宋" w:eastAsia="仿宋"/>
          <w:b/>
          <w:bCs/>
          <w:color w:val="auto"/>
          <w:sz w:val="24"/>
          <w:highlight w:val="none"/>
        </w:rPr>
        <w:t>在参加</w:t>
      </w:r>
      <w:r>
        <w:rPr>
          <w:rFonts w:ascii="仿宋" w:hAnsi="仿宋" w:eastAsia="仿宋"/>
          <w:b/>
          <w:bCs/>
          <w:color w:val="auto"/>
          <w:sz w:val="24"/>
          <w:highlight w:val="none"/>
        </w:rPr>
        <w:t>开标会时单独提交。</w:t>
      </w:r>
    </w:p>
    <w:p>
      <w:pPr>
        <w:spacing w:before="156"/>
        <w:jc w:val="center"/>
        <w:outlineLvl w:val="9"/>
        <w:rPr>
          <w:rFonts w:ascii="仿宋" w:hAnsi="仿宋" w:eastAsia="仿宋"/>
          <w:bCs w:val="0"/>
          <w:color w:val="auto"/>
          <w:sz w:val="32"/>
          <w:highlight w:val="none"/>
        </w:rPr>
      </w:pPr>
      <w:bookmarkStart w:id="31" w:name="_Toc419961517"/>
      <w:bookmarkStart w:id="32" w:name="_Toc418554948"/>
      <w:bookmarkStart w:id="33" w:name="_Toc24100650"/>
      <w:bookmarkStart w:id="34" w:name="_Toc24100581"/>
      <w:r>
        <w:rPr>
          <w:rFonts w:hint="eastAsia" w:ascii="仿宋" w:hAnsi="仿宋" w:eastAsia="仿宋"/>
          <w:bCs w:val="0"/>
          <w:color w:val="auto"/>
          <w:sz w:val="32"/>
          <w:highlight w:val="none"/>
          <w:lang w:val="en-US" w:eastAsia="zh-CN"/>
        </w:rPr>
        <w:t>二、</w:t>
      </w:r>
      <w:r>
        <w:rPr>
          <w:rFonts w:hint="eastAsia" w:ascii="仿宋" w:hAnsi="仿宋" w:eastAsia="仿宋"/>
          <w:bCs w:val="0"/>
          <w:color w:val="auto"/>
          <w:sz w:val="32"/>
          <w:highlight w:val="none"/>
        </w:rPr>
        <w:t>授权委托书</w:t>
      </w:r>
      <w:bookmarkEnd w:id="30"/>
      <w:bookmarkEnd w:id="31"/>
      <w:bookmarkEnd w:id="32"/>
      <w:bookmarkEnd w:id="33"/>
      <w:bookmarkEnd w:id="34"/>
    </w:p>
    <w:p>
      <w:pPr>
        <w:widowControl/>
        <w:spacing w:line="400" w:lineRule="atLeast"/>
        <w:outlineLvl w:val="9"/>
        <w:rPr>
          <w:rFonts w:ascii="仿宋" w:hAnsi="仿宋" w:eastAsia="仿宋"/>
          <w:color w:val="auto"/>
          <w:kern w:val="0"/>
          <w:szCs w:val="21"/>
          <w:highlight w:val="none"/>
        </w:rPr>
      </w:pPr>
    </w:p>
    <w:p>
      <w:pPr>
        <w:widowControl/>
        <w:topLinePunct/>
        <w:spacing w:line="360" w:lineRule="auto"/>
        <w:ind w:firstLine="480" w:firstLineChars="200"/>
        <w:outlineLvl w:val="9"/>
        <w:rPr>
          <w:rFonts w:ascii="仿宋" w:hAnsi="仿宋" w:eastAsia="仿宋"/>
          <w:color w:val="auto"/>
          <w:kern w:val="0"/>
          <w:sz w:val="24"/>
          <w:szCs w:val="24"/>
          <w:highlight w:val="none"/>
        </w:rPr>
      </w:pPr>
      <w:r>
        <w:rPr>
          <w:rFonts w:ascii="仿宋" w:hAnsi="仿宋" w:eastAsia="仿宋"/>
          <w:color w:val="auto"/>
          <w:kern w:val="0"/>
          <w:sz w:val="24"/>
          <w:szCs w:val="24"/>
          <w:highlight w:val="none"/>
        </w:rPr>
        <w:t>本人</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（姓名）系</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w:t>
      </w:r>
      <w:r>
        <w:rPr>
          <w:rFonts w:hint="eastAsia" w:ascii="仿宋" w:hAnsi="仿宋" w:eastAsia="仿宋"/>
          <w:color w:val="auto"/>
          <w:kern w:val="0"/>
          <w:sz w:val="24"/>
          <w:szCs w:val="24"/>
          <w:highlight w:val="none"/>
        </w:rPr>
        <w:t>报价单位名称</w:t>
      </w:r>
      <w:r>
        <w:rPr>
          <w:rFonts w:ascii="仿宋" w:hAnsi="仿宋" w:eastAsia="仿宋"/>
          <w:color w:val="auto"/>
          <w:kern w:val="0"/>
          <w:sz w:val="24"/>
          <w:szCs w:val="24"/>
          <w:highlight w:val="none"/>
        </w:rPr>
        <w:t>）的法定代表人，现委托</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（姓名）为我方代理人。代理人根据授权，以我方名义签署、澄清、</w:t>
      </w:r>
      <w:r>
        <w:rPr>
          <w:rFonts w:hint="eastAsia" w:ascii="仿宋" w:hAnsi="仿宋" w:eastAsia="仿宋"/>
          <w:color w:val="auto"/>
          <w:kern w:val="0"/>
          <w:sz w:val="24"/>
          <w:szCs w:val="24"/>
          <w:highlight w:val="none"/>
        </w:rPr>
        <w:t>说明、补正、</w:t>
      </w:r>
      <w:r>
        <w:rPr>
          <w:rFonts w:ascii="仿宋" w:hAnsi="仿宋" w:eastAsia="仿宋"/>
          <w:color w:val="auto"/>
          <w:kern w:val="0"/>
          <w:sz w:val="24"/>
          <w:szCs w:val="24"/>
          <w:highlight w:val="none"/>
        </w:rPr>
        <w:t>递交、撤回、修改</w:t>
      </w:r>
      <w:r>
        <w:rPr>
          <w:rFonts w:hint="eastAsia" w:ascii="仿宋" w:hAnsi="仿宋" w:eastAsia="仿宋"/>
          <w:color w:val="auto"/>
          <w:kern w:val="0"/>
          <w:sz w:val="24"/>
          <w:szCs w:val="24"/>
          <w:highlight w:val="none"/>
        </w:rPr>
        <w:t xml:space="preserve"> </w:t>
      </w:r>
      <w:r>
        <w:rPr>
          <w:rFonts w:hint="eastAsia" w:ascii="仿宋" w:hAnsi="仿宋" w:eastAsia="仿宋"/>
          <w:color w:val="auto"/>
          <w:kern w:val="0"/>
          <w:sz w:val="24"/>
          <w:szCs w:val="24"/>
          <w:highlight w:val="none"/>
          <w:u w:val="single"/>
          <w:lang w:eastAsia="zh-CN"/>
        </w:rPr>
        <w:t>2024年应急物资采购、建筑消防设施检测、消防器材维保服务采购项目</w:t>
      </w:r>
      <w:r>
        <w:rPr>
          <w:rFonts w:hint="eastAsia" w:ascii="仿宋" w:hAnsi="仿宋" w:eastAsia="仿宋"/>
          <w:color w:val="auto"/>
          <w:kern w:val="0"/>
          <w:sz w:val="24"/>
          <w:szCs w:val="24"/>
          <w:highlight w:val="none"/>
        </w:rPr>
        <w:t>报价</w:t>
      </w:r>
      <w:r>
        <w:rPr>
          <w:rFonts w:ascii="仿宋" w:hAnsi="仿宋" w:eastAsia="仿宋"/>
          <w:color w:val="auto"/>
          <w:kern w:val="0"/>
          <w:sz w:val="24"/>
          <w:szCs w:val="24"/>
          <w:highlight w:val="none"/>
        </w:rPr>
        <w:t>文件，其法律后果由我方承担。</w:t>
      </w:r>
    </w:p>
    <w:p>
      <w:pPr>
        <w:widowControl/>
        <w:topLinePunct/>
        <w:spacing w:line="360" w:lineRule="auto"/>
        <w:ind w:firstLine="480" w:firstLineChars="200"/>
        <w:outlineLvl w:val="9"/>
        <w:rPr>
          <w:rFonts w:ascii="仿宋" w:hAnsi="仿宋" w:eastAsia="仿宋"/>
          <w:color w:val="auto"/>
          <w:kern w:val="0"/>
          <w:sz w:val="24"/>
          <w:szCs w:val="24"/>
          <w:highlight w:val="none"/>
          <w:u w:val="single"/>
        </w:rPr>
      </w:pPr>
      <w:r>
        <w:rPr>
          <w:rFonts w:ascii="仿宋" w:hAnsi="仿宋" w:eastAsia="仿宋"/>
          <w:color w:val="auto"/>
          <w:kern w:val="0"/>
          <w:sz w:val="24"/>
          <w:szCs w:val="24"/>
          <w:highlight w:val="none"/>
        </w:rPr>
        <w:t>委托期限：</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w:t>
      </w:r>
    </w:p>
    <w:p>
      <w:pPr>
        <w:widowControl/>
        <w:topLinePunct/>
        <w:spacing w:line="360" w:lineRule="auto"/>
        <w:ind w:firstLine="480" w:firstLineChars="200"/>
        <w:outlineLvl w:val="9"/>
        <w:rPr>
          <w:rFonts w:ascii="仿宋" w:hAnsi="仿宋" w:eastAsia="仿宋"/>
          <w:color w:val="auto"/>
          <w:kern w:val="0"/>
          <w:sz w:val="24"/>
          <w:szCs w:val="24"/>
          <w:highlight w:val="none"/>
        </w:rPr>
      </w:pPr>
      <w:r>
        <w:rPr>
          <w:rFonts w:ascii="仿宋" w:hAnsi="仿宋" w:eastAsia="仿宋"/>
          <w:color w:val="auto"/>
          <w:kern w:val="0"/>
          <w:sz w:val="24"/>
          <w:szCs w:val="24"/>
          <w:highlight w:val="none"/>
        </w:rPr>
        <w:t>代理人无转委托权。</w:t>
      </w:r>
    </w:p>
    <w:p>
      <w:pPr>
        <w:widowControl/>
        <w:topLinePunct/>
        <w:spacing w:line="360" w:lineRule="auto"/>
        <w:outlineLvl w:val="9"/>
        <w:rPr>
          <w:rFonts w:ascii="仿宋" w:hAnsi="仿宋" w:eastAsia="仿宋"/>
          <w:color w:val="auto"/>
          <w:kern w:val="0"/>
          <w:sz w:val="24"/>
          <w:szCs w:val="24"/>
          <w:highlight w:val="none"/>
        </w:rPr>
      </w:pPr>
      <w:r>
        <w:rPr>
          <w:rFonts w:ascii="仿宋" w:hAnsi="仿宋" w:eastAsia="仿宋"/>
          <w:color w:val="auto"/>
          <w:kern w:val="0"/>
          <w:sz w:val="24"/>
          <w:szCs w:val="24"/>
          <w:highlight w:val="none"/>
        </w:rPr>
        <w:t>附：法定代表人及委托代理人身份证明</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2"/>
        <w:gridCol w:w="3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4122" w:type="dxa"/>
            <w:vAlign w:val="center"/>
          </w:tcPr>
          <w:p>
            <w:pPr>
              <w:widowControl/>
              <w:topLinePunct/>
              <w:spacing w:line="440" w:lineRule="atLeast"/>
              <w:jc w:val="center"/>
              <w:outlineLvl w:val="9"/>
              <w:rPr>
                <w:rFonts w:ascii="仿宋" w:hAnsi="仿宋" w:eastAsia="仿宋"/>
                <w:color w:val="auto"/>
                <w:kern w:val="0"/>
                <w:szCs w:val="21"/>
                <w:highlight w:val="none"/>
              </w:rPr>
            </w:pPr>
            <w:r>
              <w:rPr>
                <w:rFonts w:ascii="仿宋" w:hAnsi="仿宋" w:eastAsia="仿宋"/>
                <w:color w:val="auto"/>
                <w:kern w:val="0"/>
                <w:szCs w:val="21"/>
                <w:highlight w:val="none"/>
              </w:rPr>
              <w:t>法定代表人二代身份证复印件（正面）</w:t>
            </w:r>
          </w:p>
        </w:tc>
        <w:tc>
          <w:tcPr>
            <w:tcW w:w="3917" w:type="dxa"/>
            <w:vAlign w:val="center"/>
          </w:tcPr>
          <w:p>
            <w:pPr>
              <w:widowControl/>
              <w:topLinePunct/>
              <w:spacing w:line="440" w:lineRule="atLeast"/>
              <w:jc w:val="center"/>
              <w:outlineLvl w:val="9"/>
              <w:rPr>
                <w:rFonts w:ascii="仿宋" w:hAnsi="仿宋" w:eastAsia="仿宋"/>
                <w:color w:val="auto"/>
                <w:kern w:val="0"/>
                <w:szCs w:val="21"/>
                <w:highlight w:val="none"/>
              </w:rPr>
            </w:pPr>
            <w:r>
              <w:rPr>
                <w:rFonts w:ascii="仿宋" w:hAnsi="仿宋" w:eastAsia="仿宋"/>
                <w:color w:val="auto"/>
                <w:kern w:val="0"/>
                <w:szCs w:val="21"/>
                <w:highlight w:val="none"/>
              </w:rPr>
              <w:t>法定代表人二代身份证复印件（反面）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4122" w:type="dxa"/>
            <w:vAlign w:val="center"/>
          </w:tcPr>
          <w:p>
            <w:pPr>
              <w:widowControl/>
              <w:topLinePunct/>
              <w:spacing w:line="440" w:lineRule="atLeast"/>
              <w:jc w:val="center"/>
              <w:outlineLvl w:val="9"/>
              <w:rPr>
                <w:rFonts w:ascii="仿宋" w:hAnsi="仿宋" w:eastAsia="仿宋"/>
                <w:color w:val="auto"/>
                <w:kern w:val="0"/>
                <w:szCs w:val="21"/>
                <w:highlight w:val="none"/>
              </w:rPr>
            </w:pPr>
            <w:r>
              <w:rPr>
                <w:rFonts w:ascii="仿宋" w:hAnsi="仿宋" w:eastAsia="仿宋"/>
                <w:color w:val="auto"/>
                <w:kern w:val="0"/>
                <w:szCs w:val="21"/>
                <w:highlight w:val="none"/>
              </w:rPr>
              <w:t>委托代理人二代身份证复印件（正面）</w:t>
            </w:r>
          </w:p>
        </w:tc>
        <w:tc>
          <w:tcPr>
            <w:tcW w:w="3917" w:type="dxa"/>
            <w:vAlign w:val="center"/>
          </w:tcPr>
          <w:p>
            <w:pPr>
              <w:widowControl/>
              <w:topLinePunct/>
              <w:spacing w:line="440" w:lineRule="atLeast"/>
              <w:jc w:val="center"/>
              <w:outlineLvl w:val="9"/>
              <w:rPr>
                <w:rFonts w:ascii="仿宋" w:hAnsi="仿宋" w:eastAsia="仿宋"/>
                <w:color w:val="auto"/>
                <w:kern w:val="0"/>
                <w:szCs w:val="21"/>
                <w:highlight w:val="none"/>
              </w:rPr>
            </w:pPr>
            <w:r>
              <w:rPr>
                <w:rFonts w:ascii="仿宋" w:hAnsi="仿宋" w:eastAsia="仿宋"/>
                <w:color w:val="auto"/>
                <w:kern w:val="0"/>
                <w:szCs w:val="21"/>
                <w:highlight w:val="none"/>
              </w:rPr>
              <w:t>委托代理人二代身份证复印件（反面）</w:t>
            </w:r>
          </w:p>
        </w:tc>
      </w:tr>
    </w:tbl>
    <w:p>
      <w:pPr>
        <w:widowControl/>
        <w:topLinePunct/>
        <w:spacing w:line="440" w:lineRule="atLeast"/>
        <w:ind w:firstLine="2879"/>
        <w:outlineLvl w:val="9"/>
        <w:rPr>
          <w:rFonts w:ascii="仿宋" w:hAnsi="仿宋" w:eastAsia="仿宋"/>
          <w:color w:val="auto"/>
          <w:kern w:val="0"/>
          <w:szCs w:val="21"/>
          <w:highlight w:val="none"/>
        </w:rPr>
      </w:pPr>
    </w:p>
    <w:p>
      <w:pPr>
        <w:keepNext w:val="0"/>
        <w:keepLines w:val="0"/>
        <w:pageBreakBefore w:val="0"/>
        <w:widowControl/>
        <w:kinsoku/>
        <w:wordWrap/>
        <w:overflowPunct/>
        <w:topLinePunct/>
        <w:autoSpaceDE/>
        <w:autoSpaceDN/>
        <w:bidi w:val="0"/>
        <w:adjustRightInd/>
        <w:snapToGrid/>
        <w:spacing w:line="360" w:lineRule="auto"/>
        <w:ind w:left="0" w:firstLine="0" w:firstLineChars="0"/>
        <w:textAlignment w:val="auto"/>
        <w:outlineLvl w:val="9"/>
        <w:rPr>
          <w:rFonts w:ascii="仿宋" w:hAnsi="仿宋" w:eastAsia="仿宋"/>
          <w:color w:val="auto"/>
          <w:kern w:val="0"/>
          <w:sz w:val="24"/>
          <w:szCs w:val="24"/>
          <w:highlight w:val="none"/>
        </w:rPr>
      </w:pPr>
    </w:p>
    <w:p>
      <w:pPr>
        <w:keepNext w:val="0"/>
        <w:keepLines w:val="0"/>
        <w:pageBreakBefore w:val="0"/>
        <w:widowControl/>
        <w:kinsoku/>
        <w:wordWrap/>
        <w:overflowPunct/>
        <w:topLinePunct/>
        <w:autoSpaceDE/>
        <w:autoSpaceDN/>
        <w:bidi w:val="0"/>
        <w:adjustRightInd/>
        <w:snapToGrid/>
        <w:spacing w:line="360" w:lineRule="auto"/>
        <w:ind w:left="0" w:firstLine="0" w:firstLineChars="0"/>
        <w:jc w:val="center"/>
        <w:textAlignment w:val="auto"/>
        <w:outlineLvl w:val="9"/>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 xml:space="preserve">             </w:t>
      </w:r>
      <w:r>
        <w:rPr>
          <w:rFonts w:hint="eastAsia" w:ascii="仿宋" w:hAnsi="仿宋" w:eastAsia="仿宋"/>
          <w:color w:val="auto"/>
          <w:kern w:val="0"/>
          <w:sz w:val="24"/>
          <w:szCs w:val="24"/>
          <w:highlight w:val="none"/>
          <w:lang w:val="en-US" w:eastAsia="zh-CN"/>
        </w:rPr>
        <w:t xml:space="preserve">        </w:t>
      </w:r>
      <w:r>
        <w:rPr>
          <w:rFonts w:hint="eastAsia" w:ascii="仿宋" w:hAnsi="仿宋" w:eastAsia="仿宋"/>
          <w:color w:val="auto"/>
          <w:kern w:val="0"/>
          <w:sz w:val="24"/>
          <w:szCs w:val="24"/>
          <w:highlight w:val="none"/>
        </w:rPr>
        <w:t xml:space="preserve"> 报价单位</w:t>
      </w:r>
      <w:r>
        <w:rPr>
          <w:rFonts w:ascii="仿宋" w:hAnsi="仿宋" w:eastAsia="仿宋"/>
          <w:color w:val="auto"/>
          <w:kern w:val="0"/>
          <w:sz w:val="24"/>
          <w:szCs w:val="24"/>
          <w:highlight w:val="none"/>
        </w:rPr>
        <w:t>：</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lang w:eastAsia="zh-CN"/>
        </w:rPr>
        <w:t>盖单位公章</w:t>
      </w:r>
      <w:r>
        <w:rPr>
          <w:rFonts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u w:val="single"/>
        </w:rPr>
        <w:t xml:space="preserve">  </w:t>
      </w:r>
    </w:p>
    <w:p>
      <w:pPr>
        <w:keepNext w:val="0"/>
        <w:keepLines w:val="0"/>
        <w:pageBreakBefore w:val="0"/>
        <w:widowControl/>
        <w:kinsoku/>
        <w:wordWrap/>
        <w:overflowPunct/>
        <w:topLinePunct/>
        <w:autoSpaceDE/>
        <w:autoSpaceDN/>
        <w:bidi w:val="0"/>
        <w:adjustRightInd/>
        <w:snapToGrid/>
        <w:spacing w:line="360" w:lineRule="auto"/>
        <w:ind w:left="0" w:firstLine="0" w:firstLineChars="0"/>
        <w:jc w:val="center"/>
        <w:textAlignment w:val="auto"/>
        <w:outlineLvl w:val="9"/>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w:t>
      </w:r>
      <w:r>
        <w:rPr>
          <w:rFonts w:hint="eastAsia" w:ascii="仿宋" w:hAnsi="仿宋" w:eastAsia="仿宋"/>
          <w:color w:val="auto"/>
          <w:kern w:val="0"/>
          <w:sz w:val="24"/>
          <w:szCs w:val="24"/>
          <w:highlight w:val="none"/>
          <w:lang w:val="en-US" w:eastAsia="zh-CN"/>
        </w:rPr>
        <w:t xml:space="preserve">   </w:t>
      </w:r>
      <w:r>
        <w:rPr>
          <w:rFonts w:hint="eastAsia" w:ascii="仿宋" w:hAnsi="仿宋" w:eastAsia="仿宋"/>
          <w:color w:val="auto"/>
          <w:kern w:val="0"/>
          <w:sz w:val="24"/>
          <w:szCs w:val="24"/>
          <w:highlight w:val="none"/>
        </w:rPr>
        <w:t xml:space="preserve"> </w:t>
      </w:r>
      <w:r>
        <w:rPr>
          <w:rFonts w:ascii="仿宋" w:hAnsi="仿宋" w:eastAsia="仿宋"/>
          <w:color w:val="auto"/>
          <w:kern w:val="0"/>
          <w:sz w:val="24"/>
          <w:szCs w:val="24"/>
          <w:highlight w:val="none"/>
        </w:rPr>
        <w:t>法定代表人：</w:t>
      </w:r>
      <w:r>
        <w:rPr>
          <w:rFonts w:hint="eastAsia"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u w:val="single"/>
        </w:rPr>
        <w:t xml:space="preserve">   （签字）</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u w:val="single"/>
        </w:rPr>
        <w:t xml:space="preserve"> </w:t>
      </w:r>
    </w:p>
    <w:p>
      <w:pPr>
        <w:keepNext w:val="0"/>
        <w:keepLines w:val="0"/>
        <w:pageBreakBefore w:val="0"/>
        <w:widowControl/>
        <w:kinsoku/>
        <w:wordWrap/>
        <w:overflowPunct/>
        <w:topLinePunct/>
        <w:autoSpaceDE/>
        <w:autoSpaceDN/>
        <w:bidi w:val="0"/>
        <w:adjustRightInd/>
        <w:snapToGrid/>
        <w:spacing w:line="360" w:lineRule="auto"/>
        <w:ind w:left="0" w:firstLine="0" w:firstLineChars="0"/>
        <w:jc w:val="center"/>
        <w:textAlignment w:val="auto"/>
        <w:outlineLvl w:val="9"/>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w:t>
      </w:r>
      <w:r>
        <w:rPr>
          <w:rFonts w:hint="eastAsia" w:ascii="仿宋" w:hAnsi="仿宋" w:eastAsia="仿宋"/>
          <w:color w:val="auto"/>
          <w:kern w:val="0"/>
          <w:sz w:val="24"/>
          <w:szCs w:val="24"/>
          <w:highlight w:val="none"/>
          <w:lang w:val="en-US" w:eastAsia="zh-CN"/>
        </w:rPr>
        <w:t xml:space="preserve"> </w:t>
      </w:r>
      <w:r>
        <w:rPr>
          <w:rFonts w:ascii="仿宋" w:hAnsi="仿宋" w:eastAsia="仿宋"/>
          <w:color w:val="auto"/>
          <w:kern w:val="0"/>
          <w:sz w:val="24"/>
          <w:szCs w:val="24"/>
          <w:highlight w:val="none"/>
        </w:rPr>
        <w:t>委托代理人：</w:t>
      </w:r>
      <w:r>
        <w:rPr>
          <w:rFonts w:hint="eastAsia"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u w:val="single"/>
        </w:rPr>
        <w:t>（签字）</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u w:val="single"/>
        </w:rPr>
        <w:t xml:space="preserve">  </w:t>
      </w:r>
    </w:p>
    <w:p>
      <w:pPr>
        <w:keepNext w:val="0"/>
        <w:keepLines w:val="0"/>
        <w:pageBreakBefore w:val="0"/>
        <w:widowControl/>
        <w:kinsoku/>
        <w:wordWrap/>
        <w:overflowPunct/>
        <w:topLinePunct/>
        <w:autoSpaceDE/>
        <w:autoSpaceDN/>
        <w:bidi w:val="0"/>
        <w:adjustRightInd/>
        <w:snapToGrid/>
        <w:spacing w:line="360" w:lineRule="auto"/>
        <w:ind w:left="0" w:firstLine="0" w:firstLineChars="0"/>
        <w:jc w:val="right"/>
        <w:textAlignment w:val="auto"/>
        <w:outlineLvl w:val="9"/>
        <w:rPr>
          <w:rFonts w:ascii="仿宋" w:hAnsi="仿宋" w:eastAsia="仿宋"/>
          <w:color w:val="auto"/>
          <w:kern w:val="0"/>
          <w:sz w:val="24"/>
          <w:szCs w:val="24"/>
          <w:highlight w:val="none"/>
          <w:u w:val="single"/>
        </w:rPr>
      </w:pPr>
    </w:p>
    <w:p>
      <w:pPr>
        <w:keepNext w:val="0"/>
        <w:keepLines w:val="0"/>
        <w:pageBreakBefore w:val="0"/>
        <w:widowControl/>
        <w:kinsoku/>
        <w:wordWrap/>
        <w:overflowPunct/>
        <w:topLinePunct/>
        <w:autoSpaceDE/>
        <w:autoSpaceDN/>
        <w:bidi w:val="0"/>
        <w:adjustRightInd/>
        <w:snapToGrid/>
        <w:spacing w:line="360" w:lineRule="auto"/>
        <w:ind w:left="0" w:firstLine="0" w:firstLineChars="0"/>
        <w:jc w:val="right"/>
        <w:textAlignment w:val="auto"/>
        <w:outlineLvl w:val="9"/>
        <w:rPr>
          <w:rFonts w:ascii="仿宋" w:hAnsi="仿宋" w:eastAsia="仿宋"/>
          <w:color w:val="auto"/>
          <w:kern w:val="0"/>
          <w:sz w:val="24"/>
          <w:szCs w:val="24"/>
          <w:highlight w:val="none"/>
        </w:rPr>
      </w:pP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年</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月</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lang w:val="en-US" w:eastAsia="zh-CN"/>
        </w:rPr>
        <w:t xml:space="preserve"> </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日</w:t>
      </w:r>
    </w:p>
    <w:p>
      <w:pPr>
        <w:keepNext w:val="0"/>
        <w:keepLines w:val="0"/>
        <w:pageBreakBefore w:val="0"/>
        <w:widowControl/>
        <w:kinsoku/>
        <w:wordWrap/>
        <w:overflowPunct/>
        <w:topLinePunct/>
        <w:autoSpaceDE/>
        <w:autoSpaceDN/>
        <w:bidi w:val="0"/>
        <w:adjustRightInd/>
        <w:snapToGrid/>
        <w:spacing w:line="360" w:lineRule="auto"/>
        <w:ind w:left="0" w:firstLine="0" w:firstLineChars="0"/>
        <w:jc w:val="left"/>
        <w:textAlignment w:val="auto"/>
        <w:outlineLvl w:val="9"/>
        <w:rPr>
          <w:rFonts w:ascii="仿宋" w:hAnsi="仿宋" w:eastAsia="仿宋"/>
          <w:b/>
          <w:bCs/>
          <w:color w:val="auto"/>
          <w:sz w:val="24"/>
          <w:szCs w:val="24"/>
          <w:highlight w:val="none"/>
        </w:rPr>
      </w:pPr>
    </w:p>
    <w:p>
      <w:pPr>
        <w:keepNext w:val="0"/>
        <w:keepLines w:val="0"/>
        <w:pageBreakBefore w:val="0"/>
        <w:widowControl/>
        <w:kinsoku/>
        <w:wordWrap/>
        <w:overflowPunct/>
        <w:topLinePunct/>
        <w:autoSpaceDE/>
        <w:autoSpaceDN/>
        <w:bidi w:val="0"/>
        <w:adjustRightInd/>
        <w:snapToGrid/>
        <w:spacing w:line="360" w:lineRule="auto"/>
        <w:ind w:left="0" w:firstLine="482" w:firstLineChars="200"/>
        <w:jc w:val="left"/>
        <w:textAlignment w:val="auto"/>
        <w:outlineLvl w:val="9"/>
        <w:rPr>
          <w:rFonts w:hint="eastAsia" w:ascii="仿宋" w:hAnsi="仿宋" w:eastAsia="仿宋"/>
          <w:b/>
          <w:bCs/>
          <w:color w:val="auto"/>
          <w:sz w:val="24"/>
          <w:szCs w:val="24"/>
          <w:highlight w:val="none"/>
        </w:rPr>
      </w:pPr>
    </w:p>
    <w:p>
      <w:pPr>
        <w:keepNext w:val="0"/>
        <w:keepLines w:val="0"/>
        <w:pageBreakBefore w:val="0"/>
        <w:widowControl/>
        <w:kinsoku/>
        <w:wordWrap/>
        <w:overflowPunct/>
        <w:topLinePunct/>
        <w:autoSpaceDE/>
        <w:autoSpaceDN/>
        <w:bidi w:val="0"/>
        <w:adjustRightInd/>
        <w:snapToGrid/>
        <w:spacing w:line="360" w:lineRule="auto"/>
        <w:ind w:left="0" w:firstLine="482" w:firstLineChars="200"/>
        <w:jc w:val="left"/>
        <w:textAlignment w:val="auto"/>
        <w:outlineLvl w:val="9"/>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说明</w:t>
      </w:r>
      <w:r>
        <w:rPr>
          <w:rFonts w:ascii="仿宋" w:hAnsi="仿宋" w:eastAsia="仿宋"/>
          <w:b/>
          <w:bCs/>
          <w:color w:val="auto"/>
          <w:sz w:val="24"/>
          <w:szCs w:val="24"/>
          <w:highlight w:val="none"/>
        </w:rPr>
        <w:t>：</w:t>
      </w:r>
      <w:r>
        <w:rPr>
          <w:rFonts w:hint="eastAsia" w:ascii="仿宋" w:hAnsi="仿宋" w:eastAsia="仿宋"/>
          <w:b/>
          <w:bCs/>
          <w:color w:val="auto"/>
          <w:sz w:val="24"/>
          <w:szCs w:val="24"/>
          <w:highlight w:val="none"/>
        </w:rPr>
        <w:t>由授权委托代理人参加开标会议的，</w:t>
      </w:r>
      <w:r>
        <w:rPr>
          <w:rFonts w:ascii="仿宋" w:hAnsi="仿宋" w:eastAsia="仿宋"/>
          <w:b/>
          <w:bCs/>
          <w:color w:val="auto"/>
          <w:sz w:val="24"/>
          <w:szCs w:val="24"/>
          <w:highlight w:val="none"/>
        </w:rPr>
        <w:t>请另</w:t>
      </w:r>
      <w:r>
        <w:rPr>
          <w:rFonts w:hint="eastAsia" w:ascii="仿宋" w:hAnsi="仿宋" w:eastAsia="仿宋"/>
          <w:b/>
          <w:bCs/>
          <w:color w:val="auto"/>
          <w:sz w:val="24"/>
          <w:szCs w:val="24"/>
          <w:highlight w:val="none"/>
        </w:rPr>
        <w:t>行</w:t>
      </w:r>
      <w:r>
        <w:rPr>
          <w:rFonts w:ascii="仿宋" w:hAnsi="仿宋" w:eastAsia="仿宋"/>
          <w:b/>
          <w:bCs/>
          <w:color w:val="auto"/>
          <w:sz w:val="24"/>
          <w:szCs w:val="24"/>
          <w:highlight w:val="none"/>
        </w:rPr>
        <w:t>准备授权委托书原件一份，</w:t>
      </w:r>
      <w:r>
        <w:rPr>
          <w:rFonts w:hint="eastAsia" w:ascii="仿宋" w:hAnsi="仿宋" w:eastAsia="仿宋"/>
          <w:b/>
          <w:bCs/>
          <w:color w:val="auto"/>
          <w:sz w:val="24"/>
          <w:szCs w:val="24"/>
          <w:highlight w:val="none"/>
        </w:rPr>
        <w:t>在参加</w:t>
      </w:r>
      <w:r>
        <w:rPr>
          <w:rFonts w:ascii="仿宋" w:hAnsi="仿宋" w:eastAsia="仿宋"/>
          <w:b/>
          <w:bCs/>
          <w:color w:val="auto"/>
          <w:sz w:val="24"/>
          <w:szCs w:val="24"/>
          <w:highlight w:val="none"/>
        </w:rPr>
        <w:t>开标会时单独提交。</w:t>
      </w:r>
    </w:p>
    <w:p>
      <w:pPr>
        <w:rPr>
          <w:rFonts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br w:type="page"/>
      </w:r>
    </w:p>
    <w:p>
      <w:pPr>
        <w:numPr>
          <w:ilvl w:val="0"/>
          <w:numId w:val="12"/>
        </w:numPr>
        <w:spacing w:before="120" w:after="240" w:line="440" w:lineRule="exact"/>
        <w:jc w:val="center"/>
        <w:outlineLvl w:val="9"/>
        <w:rPr>
          <w:rFonts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资格审查资料</w:t>
      </w:r>
    </w:p>
    <w:p>
      <w:pPr>
        <w:widowControl/>
        <w:topLinePunct/>
        <w:spacing w:line="460" w:lineRule="atLeast"/>
        <w:ind w:firstLine="560" w:firstLineChars="200"/>
        <w:outlineLvl w:val="9"/>
        <w:rPr>
          <w:rFonts w:hint="eastAsia"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rPr>
        <w:t>附</w:t>
      </w:r>
      <w:r>
        <w:rPr>
          <w:rFonts w:hint="eastAsia" w:ascii="仿宋" w:hAnsi="仿宋" w:eastAsia="仿宋"/>
          <w:color w:val="auto"/>
          <w:kern w:val="0"/>
          <w:sz w:val="28"/>
          <w:szCs w:val="28"/>
          <w:highlight w:val="none"/>
          <w:lang w:val="en-US" w:eastAsia="zh-CN"/>
        </w:rPr>
        <w:t>报价单位的</w:t>
      </w:r>
      <w:r>
        <w:rPr>
          <w:rFonts w:hint="eastAsia" w:ascii="仿宋" w:hAnsi="仿宋" w:eastAsia="仿宋"/>
          <w:color w:val="auto"/>
          <w:kern w:val="0"/>
          <w:sz w:val="28"/>
          <w:szCs w:val="28"/>
          <w:highlight w:val="none"/>
        </w:rPr>
        <w:t>企业营业执照副本</w:t>
      </w:r>
      <w:r>
        <w:rPr>
          <w:rFonts w:hint="eastAsia" w:ascii="仿宋" w:hAnsi="仿宋" w:eastAsia="仿宋"/>
          <w:color w:val="auto"/>
          <w:kern w:val="0"/>
          <w:sz w:val="28"/>
          <w:szCs w:val="28"/>
          <w:highlight w:val="none"/>
          <w:lang w:eastAsia="zh-CN"/>
        </w:rPr>
        <w:t>、《社会消防技术服务信息系统》备案登记、资格要求</w:t>
      </w:r>
      <w:r>
        <w:rPr>
          <w:rFonts w:hint="eastAsia" w:ascii="仿宋" w:hAnsi="仿宋" w:eastAsia="仿宋"/>
          <w:color w:val="auto"/>
          <w:kern w:val="0"/>
          <w:sz w:val="28"/>
          <w:szCs w:val="28"/>
          <w:highlight w:val="none"/>
          <w:lang w:val="en-US" w:eastAsia="zh-CN"/>
        </w:rPr>
        <w:t>类似业绩证明材料、</w:t>
      </w:r>
      <w:r>
        <w:rPr>
          <w:rFonts w:hint="eastAsia" w:ascii="仿宋" w:hAnsi="仿宋" w:eastAsia="仿宋" w:cs="仿宋"/>
          <w:color w:val="auto"/>
          <w:sz w:val="28"/>
          <w:szCs w:val="28"/>
          <w:highlight w:val="none"/>
        </w:rPr>
        <w:t>在长沙城发集团招采交易平台进行供应商注册</w:t>
      </w:r>
      <w:r>
        <w:rPr>
          <w:rFonts w:hint="eastAsia" w:ascii="仿宋" w:hAnsi="仿宋" w:eastAsia="仿宋" w:cs="仿宋"/>
          <w:color w:val="auto"/>
          <w:sz w:val="28"/>
          <w:szCs w:val="28"/>
          <w:highlight w:val="none"/>
          <w:lang w:val="en-US" w:eastAsia="zh-CN"/>
        </w:rPr>
        <w:t>成功截图</w:t>
      </w:r>
      <w:r>
        <w:rPr>
          <w:rFonts w:hint="eastAsia" w:ascii="仿宋" w:hAnsi="仿宋" w:eastAsia="仿宋"/>
          <w:color w:val="auto"/>
          <w:kern w:val="0"/>
          <w:sz w:val="28"/>
          <w:szCs w:val="28"/>
          <w:highlight w:val="none"/>
        </w:rPr>
        <w:t>等的复印件</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并加盖单位公章。</w:t>
      </w:r>
    </w:p>
    <w:p>
      <w:pPr>
        <w:outlineLvl w:val="9"/>
        <w:rPr>
          <w:rFonts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br w:type="page"/>
      </w:r>
    </w:p>
    <w:p>
      <w:pPr>
        <w:numPr>
          <w:ilvl w:val="0"/>
          <w:numId w:val="12"/>
        </w:numPr>
        <w:spacing w:before="120" w:after="240" w:line="440" w:lineRule="exact"/>
        <w:jc w:val="center"/>
        <w:outlineLvl w:val="9"/>
        <w:rPr>
          <w:rFonts w:ascii="仿宋" w:hAnsi="仿宋" w:eastAsia="仿宋"/>
          <w:b/>
          <w:color w:val="auto"/>
          <w:kern w:val="0"/>
          <w:sz w:val="32"/>
          <w:szCs w:val="32"/>
          <w:highlight w:val="none"/>
        </w:rPr>
      </w:pPr>
      <w:r>
        <w:rPr>
          <w:rFonts w:hint="eastAsia" w:ascii="仿宋" w:hAnsi="仿宋" w:eastAsia="仿宋" w:cstheme="minorBidi"/>
          <w:b/>
          <w:color w:val="auto"/>
          <w:kern w:val="0"/>
          <w:sz w:val="32"/>
          <w:szCs w:val="32"/>
          <w:highlight w:val="none"/>
        </w:rPr>
        <w:t>报价一览表</w:t>
      </w:r>
    </w:p>
    <w:p>
      <w:pPr>
        <w:spacing w:line="240" w:lineRule="exact"/>
        <w:ind w:right="360"/>
        <w:jc w:val="right"/>
        <w:outlineLvl w:val="9"/>
        <w:rPr>
          <w:rFonts w:hint="eastAsia" w:ascii="仿宋" w:hAnsi="仿宋" w:eastAsia="仿宋" w:cs="仿宋"/>
          <w:color w:val="auto"/>
          <w:szCs w:val="21"/>
          <w:highlight w:val="none"/>
        </w:rPr>
      </w:pPr>
    </w:p>
    <w:p>
      <w:pPr>
        <w:spacing w:line="240" w:lineRule="exact"/>
        <w:ind w:right="360"/>
        <w:jc w:val="righ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单位：人民币元（保留两位小数）</w:t>
      </w:r>
    </w:p>
    <w:tbl>
      <w:tblPr>
        <w:tblStyle w:val="25"/>
        <w:tblW w:w="9470"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47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outlineLvl w:val="9"/>
              <w:rPr>
                <w:rFonts w:hint="eastAsia" w:ascii="仿宋_GB2312" w:hAnsi="仿宋_GB2312" w:eastAsia="仿宋_GB2312" w:cs="仿宋_GB2312"/>
                <w:b/>
                <w:bCs/>
                <w:sz w:val="28"/>
                <w:szCs w:val="28"/>
                <w:highlight w:val="none"/>
                <w:lang w:val="sq-AL"/>
              </w:rPr>
            </w:pPr>
            <w:r>
              <w:rPr>
                <w:rFonts w:hint="eastAsia" w:ascii="仿宋_GB2312" w:hAnsi="仿宋_GB2312" w:eastAsia="仿宋_GB2312" w:cs="仿宋_GB2312"/>
                <w:b/>
                <w:bCs/>
                <w:sz w:val="28"/>
                <w:szCs w:val="28"/>
                <w:highlight w:val="none"/>
                <w:lang w:val="sq-AL"/>
              </w:rPr>
              <w:t>序号</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outlineLvl w:val="9"/>
              <w:rPr>
                <w:rFonts w:hint="eastAsia" w:ascii="仿宋_GB2312" w:hAnsi="仿宋_GB2312" w:eastAsia="仿宋_GB2312" w:cs="仿宋_GB2312"/>
                <w:b/>
                <w:bCs/>
                <w:sz w:val="28"/>
                <w:szCs w:val="28"/>
                <w:highlight w:val="none"/>
                <w:lang w:val="sq-AL"/>
              </w:rPr>
            </w:pPr>
            <w:r>
              <w:rPr>
                <w:rFonts w:hint="eastAsia" w:ascii="仿宋_GB2312" w:hAnsi="仿宋_GB2312" w:eastAsia="仿宋_GB2312" w:cs="仿宋_GB2312"/>
                <w:b/>
                <w:bCs/>
                <w:sz w:val="28"/>
                <w:szCs w:val="28"/>
                <w:highlight w:val="none"/>
                <w:lang w:val="sq-AL"/>
              </w:rPr>
              <w:t>项目</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outlineLvl w:val="9"/>
              <w:rPr>
                <w:rFonts w:hint="eastAsia" w:ascii="仿宋_GB2312" w:hAnsi="仿宋_GB2312" w:eastAsia="仿宋_GB2312" w:cs="仿宋_GB2312"/>
                <w:b/>
                <w:bCs/>
                <w:sz w:val="28"/>
                <w:szCs w:val="28"/>
                <w:highlight w:val="none"/>
                <w:lang w:val="sq-AL"/>
              </w:rPr>
            </w:pPr>
            <w:r>
              <w:rPr>
                <w:rFonts w:hint="eastAsia" w:ascii="仿宋_GB2312" w:hAnsi="仿宋_GB2312" w:eastAsia="仿宋_GB2312" w:cs="仿宋_GB2312"/>
                <w:b/>
                <w:bCs/>
                <w:sz w:val="28"/>
                <w:szCs w:val="28"/>
                <w:highlight w:val="none"/>
                <w:lang w:val="sq-A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jc w:val="center"/>
              <w:outlineLvl w:val="9"/>
              <w:rPr>
                <w:rFonts w:hint="eastAsia" w:ascii="仿宋" w:hAnsi="仿宋" w:eastAsia="仿宋"/>
                <w:color w:val="auto"/>
                <w:kern w:val="0"/>
                <w:sz w:val="28"/>
                <w:szCs w:val="28"/>
                <w:highlight w:val="none"/>
                <w:lang w:val="sq-AL"/>
              </w:rPr>
            </w:pPr>
            <w:r>
              <w:rPr>
                <w:rFonts w:hint="eastAsia" w:ascii="仿宋" w:hAnsi="仿宋" w:eastAsia="仿宋"/>
                <w:color w:val="auto"/>
                <w:kern w:val="0"/>
                <w:sz w:val="28"/>
                <w:szCs w:val="28"/>
                <w:highlight w:val="none"/>
                <w:lang w:val="sq-AL"/>
              </w:rPr>
              <w:t>1</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ind w:firstLine="560" w:firstLineChars="200"/>
              <w:outlineLvl w:val="9"/>
              <w:rPr>
                <w:rFonts w:hint="eastAsia" w:ascii="仿宋" w:hAnsi="仿宋" w:eastAsia="仿宋"/>
                <w:color w:val="auto"/>
                <w:kern w:val="0"/>
                <w:sz w:val="28"/>
                <w:szCs w:val="28"/>
                <w:highlight w:val="none"/>
                <w:lang w:val="sq-AL"/>
              </w:rPr>
            </w:pPr>
            <w:r>
              <w:rPr>
                <w:rFonts w:hint="eastAsia" w:ascii="仿宋" w:hAnsi="仿宋" w:eastAsia="仿宋"/>
                <w:color w:val="auto"/>
                <w:kern w:val="0"/>
                <w:sz w:val="28"/>
                <w:szCs w:val="28"/>
                <w:highlight w:val="none"/>
                <w:lang w:val="sq-AL"/>
              </w:rPr>
              <w:t>项目名称</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ind w:firstLine="560" w:firstLineChars="200"/>
              <w:outlineLvl w:val="9"/>
              <w:rPr>
                <w:rFonts w:hint="eastAsia" w:ascii="仿宋" w:hAnsi="仿宋" w:eastAsia="仿宋"/>
                <w:color w:val="auto"/>
                <w:kern w:val="0"/>
                <w:sz w:val="28"/>
                <w:szCs w:val="28"/>
                <w:highlight w:val="none"/>
                <w:lang w:val="sq-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jc w:val="center"/>
              <w:outlineLvl w:val="9"/>
              <w:rPr>
                <w:rFonts w:hint="eastAsia" w:ascii="仿宋" w:hAnsi="仿宋" w:eastAsia="仿宋"/>
                <w:color w:val="auto"/>
                <w:kern w:val="0"/>
                <w:sz w:val="28"/>
                <w:szCs w:val="28"/>
                <w:highlight w:val="none"/>
                <w:lang w:eastAsia="zh-CN"/>
              </w:rPr>
            </w:pPr>
            <w:r>
              <w:rPr>
                <w:rFonts w:hint="eastAsia" w:ascii="仿宋" w:hAnsi="仿宋" w:eastAsia="仿宋"/>
                <w:color w:val="auto"/>
                <w:kern w:val="0"/>
                <w:sz w:val="28"/>
                <w:szCs w:val="28"/>
                <w:highlight w:val="none"/>
                <w:lang w:val="en-US" w:eastAsia="zh-CN"/>
              </w:rPr>
              <w:t>2</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jc w:val="center"/>
              <w:outlineLvl w:val="9"/>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项目报价</w:t>
            </w:r>
            <w:r>
              <w:rPr>
                <w:rFonts w:hint="eastAsia" w:ascii="仿宋" w:hAnsi="仿宋" w:eastAsia="仿宋"/>
                <w:color w:val="auto"/>
                <w:kern w:val="0"/>
                <w:sz w:val="28"/>
                <w:szCs w:val="28"/>
                <w:highlight w:val="none"/>
              </w:rPr>
              <w:t>（元）</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jc w:val="left"/>
              <w:outlineLvl w:val="9"/>
              <w:rPr>
                <w:rFonts w:hint="eastAsia"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lang w:val="en-US" w:eastAsia="zh-CN"/>
              </w:rPr>
              <w:t xml:space="preserve">大写：           </w:t>
            </w:r>
          </w:p>
          <w:p>
            <w:pPr>
              <w:widowControl/>
              <w:topLinePunct/>
              <w:spacing w:line="460" w:lineRule="atLeast"/>
              <w:jc w:val="left"/>
              <w:outlineLvl w:val="9"/>
              <w:rPr>
                <w:rFonts w:hint="eastAsia"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lang w:val="en-US" w:eastAsia="zh-CN"/>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jc w:val="center"/>
              <w:outlineLvl w:val="9"/>
              <w:rPr>
                <w:rFonts w:hint="eastAsia" w:ascii="仿宋" w:hAnsi="仿宋" w:eastAsia="仿宋"/>
                <w:color w:val="auto"/>
                <w:kern w:val="0"/>
                <w:sz w:val="28"/>
                <w:szCs w:val="28"/>
                <w:highlight w:val="none"/>
                <w:lang w:val="sq-AL" w:eastAsia="zh-CN"/>
              </w:rPr>
            </w:pPr>
            <w:r>
              <w:rPr>
                <w:rFonts w:hint="eastAsia" w:ascii="仿宋" w:hAnsi="仿宋" w:eastAsia="仿宋"/>
                <w:color w:val="auto"/>
                <w:kern w:val="0"/>
                <w:sz w:val="28"/>
                <w:szCs w:val="28"/>
                <w:highlight w:val="none"/>
                <w:lang w:val="en-US" w:eastAsia="zh-CN"/>
              </w:rPr>
              <w:t>3</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jc w:val="center"/>
              <w:outlineLvl w:val="9"/>
              <w:rPr>
                <w:rFonts w:hint="eastAsia" w:ascii="仿宋" w:hAnsi="仿宋" w:eastAsia="仿宋"/>
                <w:color w:val="auto"/>
                <w:kern w:val="0"/>
                <w:sz w:val="28"/>
                <w:szCs w:val="28"/>
                <w:highlight w:val="none"/>
                <w:lang w:val="sq-AL" w:eastAsia="zh-CN"/>
              </w:rPr>
            </w:pPr>
            <w:r>
              <w:rPr>
                <w:rFonts w:hint="eastAsia" w:ascii="仿宋" w:hAnsi="仿宋" w:eastAsia="仿宋"/>
                <w:color w:val="auto"/>
                <w:kern w:val="0"/>
                <w:sz w:val="28"/>
                <w:szCs w:val="28"/>
                <w:highlight w:val="none"/>
                <w:lang w:val="sq-AL"/>
              </w:rPr>
              <w:t>服务</w:t>
            </w:r>
            <w:r>
              <w:rPr>
                <w:rFonts w:hint="eastAsia" w:ascii="仿宋" w:hAnsi="仿宋" w:eastAsia="仿宋"/>
                <w:color w:val="auto"/>
                <w:kern w:val="0"/>
                <w:sz w:val="28"/>
                <w:szCs w:val="28"/>
                <w:highlight w:val="none"/>
                <w:lang w:val="en-US" w:eastAsia="zh-CN"/>
              </w:rPr>
              <w:t>期限</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ind w:firstLine="560" w:firstLineChars="200"/>
              <w:outlineLvl w:val="9"/>
              <w:rPr>
                <w:rFonts w:hint="eastAsia" w:ascii="仿宋" w:hAnsi="仿宋" w:eastAsia="仿宋"/>
                <w:color w:val="auto"/>
                <w:kern w:val="0"/>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jc w:val="center"/>
              <w:outlineLvl w:val="9"/>
              <w:rPr>
                <w:rFonts w:hint="eastAsia" w:ascii="仿宋" w:hAnsi="仿宋" w:eastAsia="仿宋"/>
                <w:color w:val="auto"/>
                <w:kern w:val="0"/>
                <w:sz w:val="28"/>
                <w:szCs w:val="28"/>
                <w:highlight w:val="none"/>
                <w:lang w:eastAsia="zh-CN"/>
              </w:rPr>
            </w:pPr>
            <w:r>
              <w:rPr>
                <w:rFonts w:hint="eastAsia" w:ascii="仿宋" w:hAnsi="仿宋" w:eastAsia="仿宋"/>
                <w:color w:val="auto"/>
                <w:kern w:val="0"/>
                <w:sz w:val="28"/>
                <w:szCs w:val="28"/>
                <w:highlight w:val="none"/>
                <w:lang w:val="en-US" w:eastAsia="zh-CN"/>
              </w:rPr>
              <w:t>4</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jc w:val="center"/>
              <w:outlineLvl w:val="9"/>
              <w:rPr>
                <w:rFonts w:hint="eastAsia" w:ascii="仿宋" w:hAnsi="仿宋" w:eastAsia="仿宋"/>
                <w:color w:val="auto"/>
                <w:kern w:val="0"/>
                <w:sz w:val="28"/>
                <w:szCs w:val="28"/>
                <w:highlight w:val="none"/>
                <w:lang w:val="sq-AL"/>
              </w:rPr>
            </w:pPr>
            <w:r>
              <w:rPr>
                <w:rFonts w:hint="eastAsia" w:ascii="仿宋" w:hAnsi="仿宋" w:eastAsia="仿宋"/>
                <w:color w:val="auto"/>
                <w:kern w:val="0"/>
                <w:sz w:val="28"/>
                <w:szCs w:val="28"/>
                <w:highlight w:val="none"/>
                <w:lang w:val="sq-AL"/>
              </w:rPr>
              <w:t>项目负责人姓名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ind w:firstLine="560" w:firstLineChars="200"/>
              <w:outlineLvl w:val="9"/>
              <w:rPr>
                <w:rFonts w:hint="eastAsia" w:ascii="仿宋" w:hAnsi="仿宋" w:eastAsia="仿宋"/>
                <w:color w:val="auto"/>
                <w:kern w:val="0"/>
                <w:sz w:val="28"/>
                <w:szCs w:val="28"/>
                <w:highlight w:val="none"/>
                <w:lang w:val="sq-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jc w:val="center"/>
              <w:outlineLvl w:val="9"/>
              <w:rPr>
                <w:rFonts w:hint="eastAsia" w:ascii="仿宋" w:hAnsi="仿宋" w:eastAsia="仿宋"/>
                <w:color w:val="auto"/>
                <w:kern w:val="0"/>
                <w:sz w:val="28"/>
                <w:szCs w:val="28"/>
                <w:highlight w:val="none"/>
                <w:lang w:eastAsia="zh-CN"/>
              </w:rPr>
            </w:pPr>
            <w:r>
              <w:rPr>
                <w:rFonts w:hint="eastAsia" w:ascii="仿宋" w:hAnsi="仿宋" w:eastAsia="仿宋"/>
                <w:color w:val="auto"/>
                <w:kern w:val="0"/>
                <w:sz w:val="28"/>
                <w:szCs w:val="28"/>
                <w:highlight w:val="none"/>
                <w:lang w:val="en-US" w:eastAsia="zh-CN"/>
              </w:rPr>
              <w:t>5</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jc w:val="center"/>
              <w:outlineLvl w:val="9"/>
              <w:rPr>
                <w:rFonts w:hint="eastAsia" w:ascii="仿宋" w:hAnsi="仿宋" w:eastAsia="仿宋"/>
                <w:color w:val="auto"/>
                <w:kern w:val="0"/>
                <w:sz w:val="28"/>
                <w:szCs w:val="28"/>
                <w:highlight w:val="none"/>
                <w:lang w:val="sq-AL"/>
              </w:rPr>
            </w:pPr>
            <w:r>
              <w:rPr>
                <w:rFonts w:hint="eastAsia" w:ascii="仿宋" w:hAnsi="仿宋" w:eastAsia="仿宋"/>
                <w:color w:val="auto"/>
                <w:kern w:val="0"/>
                <w:sz w:val="28"/>
                <w:szCs w:val="28"/>
                <w:highlight w:val="none"/>
                <w:lang w:val="sq-AL"/>
              </w:rPr>
              <w:t>备注</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topLinePunct/>
              <w:spacing w:line="460" w:lineRule="atLeast"/>
              <w:ind w:firstLine="560" w:firstLineChars="200"/>
              <w:outlineLvl w:val="9"/>
              <w:rPr>
                <w:rFonts w:hint="eastAsia" w:ascii="仿宋" w:hAnsi="仿宋" w:eastAsia="仿宋"/>
                <w:color w:val="auto"/>
                <w:kern w:val="0"/>
                <w:sz w:val="28"/>
                <w:szCs w:val="28"/>
                <w:highlight w:val="none"/>
                <w:lang w:val="sq-AL"/>
              </w:rPr>
            </w:pPr>
          </w:p>
        </w:tc>
      </w:tr>
    </w:tbl>
    <w:p>
      <w:pPr>
        <w:spacing w:line="360" w:lineRule="auto"/>
        <w:ind w:firstLine="56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u w:val="none"/>
          <w:lang w:val="en-US" w:eastAsia="zh-CN"/>
        </w:rPr>
        <w:t>注：项目总报</w:t>
      </w:r>
      <w:r>
        <w:rPr>
          <w:rFonts w:hint="eastAsia" w:ascii="仿宋" w:hAnsi="仿宋" w:eastAsia="仿宋" w:cs="仿宋"/>
          <w:b/>
          <w:bCs/>
          <w:color w:val="auto"/>
          <w:sz w:val="24"/>
          <w:szCs w:val="24"/>
          <w:highlight w:val="none"/>
          <w:u w:val="none"/>
        </w:rPr>
        <w:t>价不得超过本项目</w:t>
      </w:r>
      <w:r>
        <w:rPr>
          <w:rFonts w:hint="eastAsia" w:ascii="仿宋" w:hAnsi="仿宋" w:eastAsia="仿宋" w:cs="仿宋"/>
          <w:b/>
          <w:bCs/>
          <w:color w:val="auto"/>
          <w:sz w:val="24"/>
          <w:szCs w:val="24"/>
          <w:highlight w:val="none"/>
          <w:u w:val="none"/>
          <w:lang w:val="en-US" w:eastAsia="zh-CN"/>
        </w:rPr>
        <w:t>预算价：</w:t>
      </w:r>
      <w:r>
        <w:rPr>
          <w:rFonts w:hint="eastAsia" w:ascii="仿宋" w:hAnsi="仿宋" w:eastAsia="仿宋" w:cs="仿宋"/>
          <w:b/>
          <w:bCs/>
          <w:color w:val="auto"/>
          <w:sz w:val="24"/>
          <w:szCs w:val="24"/>
          <w:highlight w:val="none"/>
          <w:lang w:val="en-US" w:eastAsia="zh-CN"/>
        </w:rPr>
        <w:t>14.5207</w:t>
      </w:r>
      <w:r>
        <w:rPr>
          <w:rFonts w:hint="eastAsia" w:ascii="仿宋" w:hAnsi="仿宋" w:eastAsia="仿宋" w:cs="仿宋"/>
          <w:b/>
          <w:bCs/>
          <w:color w:val="auto"/>
          <w:sz w:val="24"/>
          <w:szCs w:val="24"/>
          <w:highlight w:val="none"/>
        </w:rPr>
        <w:t>万元</w:t>
      </w:r>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none"/>
          <w:lang w:val="en-US" w:eastAsia="zh-CN"/>
        </w:rPr>
        <w:t>分项单价不超过采购需求内各清单项的上限单价，</w:t>
      </w:r>
      <w:r>
        <w:rPr>
          <w:rFonts w:hint="eastAsia" w:ascii="仿宋" w:hAnsi="仿宋" w:eastAsia="仿宋" w:cs="仿宋"/>
          <w:b/>
          <w:bCs/>
          <w:color w:val="auto"/>
          <w:sz w:val="24"/>
          <w:szCs w:val="24"/>
          <w:highlight w:val="none"/>
          <w:u w:val="none"/>
        </w:rPr>
        <w:t>超过的报价</w:t>
      </w:r>
      <w:r>
        <w:rPr>
          <w:rFonts w:hint="eastAsia" w:ascii="仿宋" w:hAnsi="仿宋" w:eastAsia="仿宋" w:cs="仿宋"/>
          <w:b/>
          <w:bCs/>
          <w:color w:val="auto"/>
          <w:sz w:val="24"/>
          <w:szCs w:val="24"/>
          <w:highlight w:val="none"/>
          <w:u w:val="none"/>
          <w:lang w:val="en-US" w:eastAsia="zh-CN"/>
        </w:rPr>
        <w:t>视</w:t>
      </w:r>
      <w:r>
        <w:rPr>
          <w:rFonts w:hint="eastAsia" w:ascii="仿宋" w:hAnsi="仿宋" w:eastAsia="仿宋" w:cs="仿宋"/>
          <w:b/>
          <w:bCs/>
          <w:color w:val="auto"/>
          <w:sz w:val="24"/>
          <w:szCs w:val="24"/>
          <w:highlight w:val="none"/>
          <w:u w:val="none"/>
        </w:rPr>
        <w:t>为无效报价</w:t>
      </w:r>
      <w:r>
        <w:rPr>
          <w:rFonts w:hint="eastAsia" w:ascii="仿宋" w:hAnsi="仿宋" w:eastAsia="仿宋" w:cs="仿宋"/>
          <w:b/>
          <w:bCs/>
          <w:color w:val="auto"/>
          <w:sz w:val="24"/>
          <w:szCs w:val="24"/>
          <w:highlight w:val="none"/>
          <w:u w:val="none"/>
          <w:lang w:eastAsia="zh-CN"/>
        </w:rPr>
        <w:t>。</w:t>
      </w:r>
    </w:p>
    <w:p>
      <w:pPr>
        <w:spacing w:line="360" w:lineRule="auto"/>
        <w:ind w:firstLine="56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算术错误修正：</w:t>
      </w:r>
    </w:p>
    <w:p>
      <w:pPr>
        <w:spacing w:line="360" w:lineRule="auto"/>
        <w:ind w:firstLine="56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招选人检查报价单位投标报价是否有算术错误，算术性错误分析和修正按以下原则进行，修正的价格经报价单位书面确认后具有约束力。报价单位不接受修正价格的，应当否决其投标。</w:t>
      </w:r>
    </w:p>
    <w:p>
      <w:pPr>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报价文件中的大写金额与小写金额不一致的，以大写金额为准</w:t>
      </w:r>
      <w:r>
        <w:rPr>
          <w:rFonts w:hint="eastAsia" w:ascii="仿宋" w:hAnsi="仿宋" w:eastAsia="仿宋" w:cs="仿宋"/>
          <w:color w:val="auto"/>
          <w:sz w:val="24"/>
          <w:szCs w:val="24"/>
          <w:highlight w:val="none"/>
          <w:lang w:eastAsia="zh-CN"/>
        </w:rPr>
        <w:t>。</w:t>
      </w:r>
    </w:p>
    <w:p>
      <w:pPr>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选人根据算术错误修正结果计算评标价。招选人对算术错误的修正应向报价单位作书面澄清。报价单位对修正结果应书面确认。报价单位对修正结果有不同意见或未作书面确认的，招选人应重新复核修正结果，再次按上述程序分别进行确认、复核。</w:t>
      </w:r>
    </w:p>
    <w:p>
      <w:pPr>
        <w:spacing w:line="360" w:lineRule="auto"/>
        <w:ind w:right="565" w:rightChars="269"/>
        <w:outlineLvl w:val="9"/>
        <w:rPr>
          <w:rFonts w:ascii="宋体" w:hAnsi="宋体" w:eastAsia="宋体"/>
          <w:color w:val="auto"/>
          <w:sz w:val="24"/>
          <w:szCs w:val="24"/>
          <w:highlight w:val="none"/>
        </w:rPr>
      </w:pPr>
    </w:p>
    <w:p>
      <w:pPr>
        <w:spacing w:line="360" w:lineRule="auto"/>
        <w:ind w:firstLine="480" w:firstLineChars="200"/>
        <w:jc w:val="center"/>
        <w:outlineLvl w:val="9"/>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报 价 单 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盖单位公章</w:t>
      </w:r>
      <w:r>
        <w:rPr>
          <w:rFonts w:hint="eastAsia" w:ascii="仿宋" w:hAnsi="仿宋" w:eastAsia="仿宋" w:cs="仿宋"/>
          <w:color w:val="auto"/>
          <w:sz w:val="24"/>
          <w:szCs w:val="24"/>
          <w:highlight w:val="none"/>
          <w:u w:val="single"/>
        </w:rPr>
        <w:t xml:space="preserve">）           </w:t>
      </w:r>
    </w:p>
    <w:p>
      <w:pPr>
        <w:spacing w:line="360" w:lineRule="auto"/>
        <w:ind w:firstLine="480" w:firstLineChars="200"/>
        <w:jc w:val="center"/>
        <w:outlineLvl w:val="9"/>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 xml:space="preserve">（签字）     </w:t>
      </w:r>
    </w:p>
    <w:p>
      <w:pPr>
        <w:spacing w:line="360" w:lineRule="auto"/>
        <w:ind w:firstLine="480" w:firstLineChars="200"/>
        <w:jc w:val="center"/>
        <w:outlineLvl w:val="9"/>
        <w:rPr>
          <w:rFonts w:hint="eastAsia" w:ascii="仿宋" w:hAnsi="仿宋" w:eastAsia="仿宋" w:cs="仿宋"/>
          <w:color w:val="auto"/>
          <w:sz w:val="24"/>
          <w:szCs w:val="24"/>
          <w:highlight w:val="none"/>
          <w:u w:val="single"/>
        </w:rPr>
      </w:pPr>
    </w:p>
    <w:p>
      <w:pPr>
        <w:spacing w:line="360" w:lineRule="auto"/>
        <w:ind w:firstLine="480" w:firstLineChars="200"/>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360" w:lineRule="auto"/>
        <w:ind w:firstLine="482" w:firstLineChars="200"/>
        <w:jc w:val="center"/>
        <w:outlineLvl w:val="9"/>
        <w:rPr>
          <w:rFonts w:ascii="仿宋" w:hAnsi="仿宋" w:eastAsia="仿宋"/>
          <w:b/>
          <w:color w:val="auto"/>
          <w:kern w:val="0"/>
          <w:sz w:val="24"/>
          <w:szCs w:val="24"/>
          <w:highlight w:val="none"/>
        </w:rPr>
      </w:pPr>
    </w:p>
    <w:p>
      <w:pPr>
        <w:numPr>
          <w:ilvl w:val="0"/>
          <w:numId w:val="12"/>
        </w:numPr>
        <w:spacing w:before="120" w:after="240" w:line="440" w:lineRule="exact"/>
        <w:jc w:val="center"/>
        <w:outlineLvl w:val="9"/>
        <w:rPr>
          <w:rFonts w:ascii="仿宋" w:hAnsi="仿宋" w:eastAsia="仿宋"/>
          <w:b/>
          <w:color w:val="auto"/>
          <w:kern w:val="0"/>
          <w:sz w:val="32"/>
          <w:szCs w:val="32"/>
          <w:highlight w:val="none"/>
        </w:rPr>
      </w:pPr>
      <w:r>
        <w:rPr>
          <w:rFonts w:hint="eastAsia" w:ascii="仿宋" w:hAnsi="仿宋" w:eastAsia="仿宋" w:cstheme="minorBidi"/>
          <w:b/>
          <w:color w:val="auto"/>
          <w:kern w:val="0"/>
          <w:sz w:val="32"/>
          <w:szCs w:val="32"/>
          <w:highlight w:val="none"/>
          <w:lang w:val="en-US" w:eastAsia="zh-CN"/>
        </w:rPr>
        <w:t>分项价格</w:t>
      </w:r>
      <w:r>
        <w:rPr>
          <w:rFonts w:hint="eastAsia" w:ascii="仿宋" w:hAnsi="仿宋" w:eastAsia="仿宋" w:cstheme="minorBidi"/>
          <w:b/>
          <w:color w:val="auto"/>
          <w:kern w:val="0"/>
          <w:sz w:val="32"/>
          <w:szCs w:val="32"/>
          <w:highlight w:val="none"/>
        </w:rPr>
        <w:t>表</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5"/>
        <w:gridCol w:w="1544"/>
        <w:gridCol w:w="1704"/>
        <w:gridCol w:w="865"/>
        <w:gridCol w:w="1691"/>
        <w:gridCol w:w="1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类别</w:t>
            </w: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品名</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规格型号</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预估数量</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报价单价</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医疗急救</w:t>
            </w: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医药箱</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长40*宽25*高25CM</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污染控制</w:t>
            </w: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吸油毡</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40*50CM</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块</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消防救援</w:t>
            </w: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灭火器（新购）</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35KG干粉　</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具</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灭火器（维保）</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35KG干粉　</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具</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灭火器（新购）</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5KG干粉</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具</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灭火器（维保）</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5KG干粉</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具</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灭火器（新购）</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3KG二氧化碳</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具</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灭火器（维保）</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3KG二氧化碳</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具</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消防锹</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把</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消防铜锹</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把</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消防桶</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灭火毯</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1*1M国标</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床</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头盔</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国标</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反恐防暴</w:t>
            </w: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防暴盾牌</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块</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防暴钢叉</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把</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防刺服</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件</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保安头盔</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顶</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PC棍</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抓捕脚叉</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把</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强光手电</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只</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防割手套</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付</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电力抢修</w:t>
            </w: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绝缘手套</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绝缘靴</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木质皮老虎吹尘器</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绝缘棒</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应急照明</w:t>
            </w: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应急灯</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LED</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盏</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防爆手电</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EX标志</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防洪防汛</w:t>
            </w: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雨衣</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件</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雨靴</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沙袋</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防汛用</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救生衣</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件</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污水泵（新购）</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20米扬程</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污水泵（维保）</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20米扬程</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水管（30M）</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与污水泵配套</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条</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通讯电缆</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50M</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盘</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微型消防站</w:t>
            </w: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消防防护服</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17款3C</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防毒面具</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消防斧</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把</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头盔</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安全绳</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付</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消防靴</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器材柜</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1200*900</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防寒防冻</w:t>
            </w: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麻袋</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片</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750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盐</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100KG</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袋</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马栏山北区能源站</w:t>
            </w: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马栏山北区能源站火灾报警系统常规维保</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每年</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含单个配件不超过100元设备更换</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马栏山北区能源站消火栓/自动喷水灭火系统常规维保</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每年</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含爆破喷淋更换</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消防系统年度检测</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每年</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对场内消防设施设备每年进行全面检测并出具消防年度检测报告，电气检测报告</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马栏山北区能源站内消防器材维修</w:t>
            </w:r>
          </w:p>
        </w:tc>
        <w:tc>
          <w:tcPr>
            <w:tcW w:w="10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含北区能源站内手提式干粉灭火器年度维修充气加粉等</w:t>
            </w:r>
          </w:p>
        </w:tc>
        <w:tc>
          <w:tcPr>
            <w:tcW w:w="10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含北区能源站内手提式灭火器年度维修充气加粉等，不含七氟丙烷充装检测</w:t>
            </w:r>
          </w:p>
        </w:tc>
        <w:tc>
          <w:tcPr>
            <w:tcW w:w="9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auto"/>
          <w:kern w:val="2"/>
          <w:sz w:val="24"/>
          <w:szCs w:val="24"/>
          <w:highlight w:val="none"/>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报价单位（报价单位公章）：</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法定代表人或其委托代理人(签字或盖章)：       </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日期：       年     月     日</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备注：本表为本次招选采购的所有货物的报价明细表。本表中“单价”为综合单价，包含货物所有隐含的内容，如运输费、保险费、管理费和利润等；</w:t>
      </w:r>
      <w:r>
        <w:rPr>
          <w:rFonts w:hint="eastAsia" w:ascii="仿宋_GB2312" w:hAnsi="仿宋_GB2312" w:eastAsia="仿宋_GB2312" w:cs="仿宋_GB2312"/>
          <w:color w:val="auto"/>
          <w:sz w:val="24"/>
          <w:highlight w:val="none"/>
          <w:lang w:val="en-US" w:eastAsia="zh-CN"/>
        </w:rPr>
        <w:t>采购部分税率为13%，服务部分税率为6%</w:t>
      </w:r>
      <w:r>
        <w:rPr>
          <w:rFonts w:hint="eastAsia" w:ascii="仿宋" w:hAnsi="仿宋" w:eastAsia="仿宋" w:cs="仿宋"/>
          <w:b w:val="0"/>
          <w:color w:val="auto"/>
          <w:kern w:val="2"/>
          <w:sz w:val="24"/>
          <w:szCs w:val="24"/>
          <w:highlight w:val="none"/>
          <w:lang w:val="en-US" w:eastAsia="zh-CN" w:bidi="ar-SA"/>
        </w:rPr>
        <w:t>。</w:t>
      </w: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5EAD20-A8B7-4619-8554-D17036A180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7415127B-511D-4D9A-8CE6-B74261422AC9}"/>
  </w:font>
  <w:font w:name="仿宋_GB2312">
    <w:panose1 w:val="02010609030101010101"/>
    <w:charset w:val="86"/>
    <w:family w:val="modern"/>
    <w:pitch w:val="default"/>
    <w:sig w:usb0="00000001" w:usb1="080E0000" w:usb2="00000000" w:usb3="00000000" w:csb0="00040000" w:csb1="00000000"/>
    <w:embedRegular r:id="rId3" w:fontKey="{E952746B-F973-48F4-B966-82932EB919CB}"/>
  </w:font>
  <w:font w:name="方正小标宋简体">
    <w:panose1 w:val="03000509000000000000"/>
    <w:charset w:val="86"/>
    <w:family w:val="script"/>
    <w:pitch w:val="default"/>
    <w:sig w:usb0="00000001" w:usb1="080E0000" w:usb2="00000000" w:usb3="00000000" w:csb0="00040000" w:csb1="00000000"/>
    <w:embedRegular r:id="rId4" w:fontKey="{2BE0A44C-FBBD-4A22-8436-9E71D4EE8CD5}"/>
  </w:font>
  <w:font w:name="Wingdings 2">
    <w:panose1 w:val="05020102010507070707"/>
    <w:charset w:val="02"/>
    <w:family w:val="roman"/>
    <w:pitch w:val="default"/>
    <w:sig w:usb0="00000000" w:usb1="00000000" w:usb2="00000000" w:usb3="00000000" w:csb0="80000000" w:csb1="00000000"/>
    <w:embedRegular r:id="rId5" w:fontKey="{C715113F-8153-4D00-BE1D-282318CEC8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left" w:pos="7266"/>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49D43B"/>
    <w:multiLevelType w:val="singleLevel"/>
    <w:tmpl w:val="8849D43B"/>
    <w:lvl w:ilvl="0" w:tentative="0">
      <w:start w:val="2"/>
      <w:numFmt w:val="chineseCounting"/>
      <w:suff w:val="nothing"/>
      <w:lvlText w:val="%1、"/>
      <w:lvlJc w:val="left"/>
      <w:rPr>
        <w:rFonts w:hint="eastAsia"/>
      </w:rPr>
    </w:lvl>
  </w:abstractNum>
  <w:abstractNum w:abstractNumId="1">
    <w:nsid w:val="B87AF2F2"/>
    <w:multiLevelType w:val="singleLevel"/>
    <w:tmpl w:val="B87AF2F2"/>
    <w:lvl w:ilvl="0" w:tentative="0">
      <w:start w:val="2"/>
      <w:numFmt w:val="chineseCounting"/>
      <w:suff w:val="space"/>
      <w:lvlText w:val="第%1章"/>
      <w:lvlJc w:val="left"/>
      <w:rPr>
        <w:rFonts w:hint="eastAsia"/>
      </w:rPr>
    </w:lvl>
  </w:abstractNum>
  <w:abstractNum w:abstractNumId="2">
    <w:nsid w:val="BAC7E14D"/>
    <w:multiLevelType w:val="singleLevel"/>
    <w:tmpl w:val="BAC7E14D"/>
    <w:lvl w:ilvl="0" w:tentative="0">
      <w:start w:val="3"/>
      <w:numFmt w:val="chineseCounting"/>
      <w:suff w:val="nothing"/>
      <w:lvlText w:val="%1、"/>
      <w:lvlJc w:val="left"/>
      <w:rPr>
        <w:rFonts w:hint="eastAsia"/>
      </w:rPr>
    </w:lvl>
  </w:abstractNum>
  <w:abstractNum w:abstractNumId="3">
    <w:nsid w:val="CFD0D765"/>
    <w:multiLevelType w:val="singleLevel"/>
    <w:tmpl w:val="CFD0D765"/>
    <w:lvl w:ilvl="0" w:tentative="0">
      <w:start w:val="3"/>
      <w:numFmt w:val="chineseCounting"/>
      <w:suff w:val="nothing"/>
      <w:lvlText w:val="%1、"/>
      <w:lvlJc w:val="left"/>
      <w:rPr>
        <w:rFonts w:hint="eastAsia"/>
      </w:rPr>
    </w:lvl>
  </w:abstractNum>
  <w:abstractNum w:abstractNumId="4">
    <w:nsid w:val="E3F868D5"/>
    <w:multiLevelType w:val="singleLevel"/>
    <w:tmpl w:val="E3F868D5"/>
    <w:lvl w:ilvl="0" w:tentative="0">
      <w:start w:val="3"/>
      <w:numFmt w:val="chineseCounting"/>
      <w:suff w:val="space"/>
      <w:lvlText w:val="第%1条"/>
      <w:lvlJc w:val="left"/>
      <w:rPr>
        <w:rFonts w:hint="eastAsia"/>
      </w:rPr>
    </w:lvl>
  </w:abstractNum>
  <w:abstractNum w:abstractNumId="5">
    <w:nsid w:val="07A0E16B"/>
    <w:multiLevelType w:val="singleLevel"/>
    <w:tmpl w:val="07A0E16B"/>
    <w:lvl w:ilvl="0" w:tentative="0">
      <w:start w:val="6"/>
      <w:numFmt w:val="chineseCounting"/>
      <w:suff w:val="nothing"/>
      <w:lvlText w:val="%1、"/>
      <w:lvlJc w:val="left"/>
      <w:rPr>
        <w:rFonts w:hint="eastAsia"/>
      </w:rPr>
    </w:lvl>
  </w:abstractNum>
  <w:abstractNum w:abstractNumId="6">
    <w:nsid w:val="0E629783"/>
    <w:multiLevelType w:val="singleLevel"/>
    <w:tmpl w:val="0E629783"/>
    <w:lvl w:ilvl="0" w:tentative="0">
      <w:start w:val="6"/>
      <w:numFmt w:val="chineseCounting"/>
      <w:suff w:val="space"/>
      <w:lvlText w:val="第%1条"/>
      <w:lvlJc w:val="left"/>
      <w:rPr>
        <w:rFonts w:hint="eastAsia"/>
      </w:rPr>
    </w:lvl>
  </w:abstractNum>
  <w:abstractNum w:abstractNumId="7">
    <w:nsid w:val="187A2CF6"/>
    <w:multiLevelType w:val="multilevel"/>
    <w:tmpl w:val="187A2CF6"/>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
    <w:nsid w:val="201E6358"/>
    <w:multiLevelType w:val="multilevel"/>
    <w:tmpl w:val="201E6358"/>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C91431A"/>
    <w:multiLevelType w:val="multilevel"/>
    <w:tmpl w:val="3C91431A"/>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9836C31"/>
    <w:multiLevelType w:val="singleLevel"/>
    <w:tmpl w:val="59836C31"/>
    <w:lvl w:ilvl="0" w:tentative="0">
      <w:start w:val="1"/>
      <w:numFmt w:val="decimal"/>
      <w:lvlText w:val="%1."/>
      <w:lvlJc w:val="left"/>
      <w:pPr>
        <w:tabs>
          <w:tab w:val="left" w:pos="312"/>
        </w:tabs>
      </w:pPr>
    </w:lvl>
  </w:abstractNum>
  <w:abstractNum w:abstractNumId="11">
    <w:nsid w:val="59C8E923"/>
    <w:multiLevelType w:val="singleLevel"/>
    <w:tmpl w:val="59C8E923"/>
    <w:lvl w:ilvl="0" w:tentative="0">
      <w:start w:val="5"/>
      <w:numFmt w:val="decimal"/>
      <w:suff w:val="nothing"/>
      <w:lvlText w:val="%1．"/>
      <w:lvlJc w:val="left"/>
    </w:lvl>
  </w:abstractNum>
  <w:num w:numId="1">
    <w:abstractNumId w:val="5"/>
  </w:num>
  <w:num w:numId="2">
    <w:abstractNumId w:val="9"/>
  </w:num>
  <w:num w:numId="3">
    <w:abstractNumId w:val="7"/>
  </w:num>
  <w:num w:numId="4">
    <w:abstractNumId w:val="4"/>
  </w:num>
  <w:num w:numId="5">
    <w:abstractNumId w:val="8"/>
  </w:num>
  <w:num w:numId="6">
    <w:abstractNumId w:val="6"/>
  </w:num>
  <w:num w:numId="7">
    <w:abstractNumId w:val="1"/>
  </w:num>
  <w:num w:numId="8">
    <w:abstractNumId w:val="0"/>
  </w:num>
  <w:num w:numId="9">
    <w:abstractNumId w:val="10"/>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xMzM2ODBjYjMwZjJlOTcwNDY0ZDY0MTYxZTM4OTIifQ=="/>
  </w:docVars>
  <w:rsids>
    <w:rsidRoot w:val="008A7FF8"/>
    <w:rsid w:val="0011067C"/>
    <w:rsid w:val="002B1921"/>
    <w:rsid w:val="002E0FFB"/>
    <w:rsid w:val="00310E34"/>
    <w:rsid w:val="00433BD8"/>
    <w:rsid w:val="00464635"/>
    <w:rsid w:val="00606918"/>
    <w:rsid w:val="006F1BBC"/>
    <w:rsid w:val="008A7FF8"/>
    <w:rsid w:val="008B0F60"/>
    <w:rsid w:val="008C21F8"/>
    <w:rsid w:val="00A542AF"/>
    <w:rsid w:val="00CB72F7"/>
    <w:rsid w:val="00E17A10"/>
    <w:rsid w:val="018C1A4E"/>
    <w:rsid w:val="02141739"/>
    <w:rsid w:val="021B186E"/>
    <w:rsid w:val="02685C0C"/>
    <w:rsid w:val="02C57AA7"/>
    <w:rsid w:val="02E0514E"/>
    <w:rsid w:val="03CA42B0"/>
    <w:rsid w:val="04221DEB"/>
    <w:rsid w:val="04836EC1"/>
    <w:rsid w:val="04CC2CC3"/>
    <w:rsid w:val="04CC3902"/>
    <w:rsid w:val="0624507A"/>
    <w:rsid w:val="067327CE"/>
    <w:rsid w:val="06F66C4D"/>
    <w:rsid w:val="0790350F"/>
    <w:rsid w:val="08352BE0"/>
    <w:rsid w:val="08557652"/>
    <w:rsid w:val="085E5181"/>
    <w:rsid w:val="08DD1D2E"/>
    <w:rsid w:val="09767573"/>
    <w:rsid w:val="09A679E7"/>
    <w:rsid w:val="0A0E7548"/>
    <w:rsid w:val="0A4B3E6F"/>
    <w:rsid w:val="0B1A1A6E"/>
    <w:rsid w:val="0BBD0BC5"/>
    <w:rsid w:val="0C191D25"/>
    <w:rsid w:val="0CC25033"/>
    <w:rsid w:val="0D5C6221"/>
    <w:rsid w:val="0E096563"/>
    <w:rsid w:val="0E6A26CE"/>
    <w:rsid w:val="0F087FB5"/>
    <w:rsid w:val="11115CFE"/>
    <w:rsid w:val="11495ED1"/>
    <w:rsid w:val="141B3407"/>
    <w:rsid w:val="14BB1A76"/>
    <w:rsid w:val="150A2725"/>
    <w:rsid w:val="15103B47"/>
    <w:rsid w:val="15314630"/>
    <w:rsid w:val="15465300"/>
    <w:rsid w:val="15C2342E"/>
    <w:rsid w:val="1612482F"/>
    <w:rsid w:val="16250824"/>
    <w:rsid w:val="163A24D8"/>
    <w:rsid w:val="17D336D0"/>
    <w:rsid w:val="180E4708"/>
    <w:rsid w:val="186E4219"/>
    <w:rsid w:val="190B1424"/>
    <w:rsid w:val="1B7D100F"/>
    <w:rsid w:val="1BE331D9"/>
    <w:rsid w:val="1D222A1E"/>
    <w:rsid w:val="1D6710EE"/>
    <w:rsid w:val="1D990ACF"/>
    <w:rsid w:val="1DF876CC"/>
    <w:rsid w:val="1E2A40E8"/>
    <w:rsid w:val="1ED02718"/>
    <w:rsid w:val="1F383163"/>
    <w:rsid w:val="1F393A69"/>
    <w:rsid w:val="1FEB0B2F"/>
    <w:rsid w:val="1FF00B97"/>
    <w:rsid w:val="2054559C"/>
    <w:rsid w:val="205E1A9F"/>
    <w:rsid w:val="209C3758"/>
    <w:rsid w:val="20EB1A8B"/>
    <w:rsid w:val="210833CD"/>
    <w:rsid w:val="21C978F2"/>
    <w:rsid w:val="21EF55AB"/>
    <w:rsid w:val="22426FC0"/>
    <w:rsid w:val="22507316"/>
    <w:rsid w:val="23B265AA"/>
    <w:rsid w:val="25C237B7"/>
    <w:rsid w:val="271D1583"/>
    <w:rsid w:val="27753227"/>
    <w:rsid w:val="27A21722"/>
    <w:rsid w:val="2810627B"/>
    <w:rsid w:val="290E1907"/>
    <w:rsid w:val="294D2BB7"/>
    <w:rsid w:val="29C64E26"/>
    <w:rsid w:val="2A156195"/>
    <w:rsid w:val="2AAF365B"/>
    <w:rsid w:val="2B512E32"/>
    <w:rsid w:val="2BB249C0"/>
    <w:rsid w:val="2BB84C5F"/>
    <w:rsid w:val="2BEF7F55"/>
    <w:rsid w:val="2CDF53E8"/>
    <w:rsid w:val="2E3862AD"/>
    <w:rsid w:val="2E4B4220"/>
    <w:rsid w:val="2EAD2A07"/>
    <w:rsid w:val="2EC869A1"/>
    <w:rsid w:val="2FFE74A5"/>
    <w:rsid w:val="30C85944"/>
    <w:rsid w:val="31984A27"/>
    <w:rsid w:val="32544FB6"/>
    <w:rsid w:val="326A6587"/>
    <w:rsid w:val="330E33B7"/>
    <w:rsid w:val="336D4581"/>
    <w:rsid w:val="337D7CD6"/>
    <w:rsid w:val="339733AC"/>
    <w:rsid w:val="339C050D"/>
    <w:rsid w:val="3415491B"/>
    <w:rsid w:val="341C60AE"/>
    <w:rsid w:val="34DC1881"/>
    <w:rsid w:val="34FA0097"/>
    <w:rsid w:val="35E3622E"/>
    <w:rsid w:val="363C35D8"/>
    <w:rsid w:val="36763CE6"/>
    <w:rsid w:val="368220F2"/>
    <w:rsid w:val="37442DDC"/>
    <w:rsid w:val="37E93C22"/>
    <w:rsid w:val="394713D0"/>
    <w:rsid w:val="3A667037"/>
    <w:rsid w:val="3AD35612"/>
    <w:rsid w:val="3AFB0BBB"/>
    <w:rsid w:val="3C1B2D66"/>
    <w:rsid w:val="40A44147"/>
    <w:rsid w:val="40D656C5"/>
    <w:rsid w:val="41D4523D"/>
    <w:rsid w:val="42286233"/>
    <w:rsid w:val="444242BF"/>
    <w:rsid w:val="445157F9"/>
    <w:rsid w:val="44D139F0"/>
    <w:rsid w:val="4597679C"/>
    <w:rsid w:val="46C95B1B"/>
    <w:rsid w:val="475C32FE"/>
    <w:rsid w:val="479A31BD"/>
    <w:rsid w:val="47ED2C44"/>
    <w:rsid w:val="48031876"/>
    <w:rsid w:val="485633DE"/>
    <w:rsid w:val="48934F6D"/>
    <w:rsid w:val="49956188"/>
    <w:rsid w:val="4A472374"/>
    <w:rsid w:val="4A957FCF"/>
    <w:rsid w:val="4AC07235"/>
    <w:rsid w:val="4B0C78C2"/>
    <w:rsid w:val="4B1E619E"/>
    <w:rsid w:val="4BE323F0"/>
    <w:rsid w:val="4C511DA5"/>
    <w:rsid w:val="4C94311F"/>
    <w:rsid w:val="4D532630"/>
    <w:rsid w:val="4DC66910"/>
    <w:rsid w:val="4DD257D5"/>
    <w:rsid w:val="4DD54DA5"/>
    <w:rsid w:val="4E17716C"/>
    <w:rsid w:val="4E2C5D50"/>
    <w:rsid w:val="4E6B752B"/>
    <w:rsid w:val="4ED84B4D"/>
    <w:rsid w:val="4F4804E1"/>
    <w:rsid w:val="4F9071D6"/>
    <w:rsid w:val="4FEB694B"/>
    <w:rsid w:val="4FEE4EF6"/>
    <w:rsid w:val="51316796"/>
    <w:rsid w:val="527C3787"/>
    <w:rsid w:val="52AF2E85"/>
    <w:rsid w:val="52C1636B"/>
    <w:rsid w:val="52D25D57"/>
    <w:rsid w:val="545A0EC3"/>
    <w:rsid w:val="548A073D"/>
    <w:rsid w:val="54A43548"/>
    <w:rsid w:val="55450A62"/>
    <w:rsid w:val="55475237"/>
    <w:rsid w:val="55827D37"/>
    <w:rsid w:val="56362842"/>
    <w:rsid w:val="5695493B"/>
    <w:rsid w:val="57BE136F"/>
    <w:rsid w:val="57C517FA"/>
    <w:rsid w:val="58853F4B"/>
    <w:rsid w:val="58E85FFA"/>
    <w:rsid w:val="592F7A5F"/>
    <w:rsid w:val="5AE825BC"/>
    <w:rsid w:val="5B7C60E1"/>
    <w:rsid w:val="5C24313A"/>
    <w:rsid w:val="5C3C7F4C"/>
    <w:rsid w:val="5F5D4BEB"/>
    <w:rsid w:val="5FA22D5A"/>
    <w:rsid w:val="61202383"/>
    <w:rsid w:val="613975A2"/>
    <w:rsid w:val="617C6AE0"/>
    <w:rsid w:val="61D44853"/>
    <w:rsid w:val="61F061FA"/>
    <w:rsid w:val="6289203C"/>
    <w:rsid w:val="62CF12C0"/>
    <w:rsid w:val="64560808"/>
    <w:rsid w:val="665E155D"/>
    <w:rsid w:val="666A19E3"/>
    <w:rsid w:val="66F95957"/>
    <w:rsid w:val="66FD73EF"/>
    <w:rsid w:val="67076949"/>
    <w:rsid w:val="671734AD"/>
    <w:rsid w:val="672A7AB8"/>
    <w:rsid w:val="685063E4"/>
    <w:rsid w:val="685B384D"/>
    <w:rsid w:val="688558EE"/>
    <w:rsid w:val="69015F71"/>
    <w:rsid w:val="69085BD7"/>
    <w:rsid w:val="69895C35"/>
    <w:rsid w:val="6A114AA0"/>
    <w:rsid w:val="6A1D6BC2"/>
    <w:rsid w:val="6A1F68A0"/>
    <w:rsid w:val="6B8579B3"/>
    <w:rsid w:val="6B927FF7"/>
    <w:rsid w:val="6C2A297D"/>
    <w:rsid w:val="6EFA2466"/>
    <w:rsid w:val="6F0836FB"/>
    <w:rsid w:val="6F63000B"/>
    <w:rsid w:val="6FFC4471"/>
    <w:rsid w:val="70763D6E"/>
    <w:rsid w:val="70AB258E"/>
    <w:rsid w:val="724A28D9"/>
    <w:rsid w:val="729F75AC"/>
    <w:rsid w:val="732E26DE"/>
    <w:rsid w:val="736A232D"/>
    <w:rsid w:val="736D1458"/>
    <w:rsid w:val="73FD5846"/>
    <w:rsid w:val="75542EF1"/>
    <w:rsid w:val="76583A3C"/>
    <w:rsid w:val="76CD220E"/>
    <w:rsid w:val="76DE1987"/>
    <w:rsid w:val="76EB7ED6"/>
    <w:rsid w:val="772D0B85"/>
    <w:rsid w:val="77653B27"/>
    <w:rsid w:val="77F008AA"/>
    <w:rsid w:val="78C209AA"/>
    <w:rsid w:val="7A434CC1"/>
    <w:rsid w:val="7A877E84"/>
    <w:rsid w:val="7ACE599B"/>
    <w:rsid w:val="7B9E5695"/>
    <w:rsid w:val="7C4F2043"/>
    <w:rsid w:val="7CE81B50"/>
    <w:rsid w:val="7D737DAE"/>
    <w:rsid w:val="7DC9372F"/>
    <w:rsid w:val="7ED446CA"/>
    <w:rsid w:val="7EE1011D"/>
    <w:rsid w:val="7F3F4DA7"/>
    <w:rsid w:val="7FB76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Lines="50" w:line="360" w:lineRule="auto"/>
      <w:jc w:val="left"/>
      <w:outlineLvl w:val="1"/>
    </w:pPr>
    <w:rPr>
      <w:rFonts w:ascii="Cambria" w:hAnsi="Cambria" w:eastAsia="宋体"/>
      <w:b/>
      <w:bCs/>
      <w:kern w:val="0"/>
      <w:sz w:val="30"/>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rPr>
      <w:rFonts w:ascii="Calibri" w:hAnsi="Calibri"/>
    </w:rPr>
  </w:style>
  <w:style w:type="paragraph" w:styleId="7">
    <w:name w:val="Normal Indent"/>
    <w:basedOn w:val="1"/>
    <w:qFormat/>
    <w:uiPriority w:val="0"/>
    <w:pPr>
      <w:ind w:firstLine="420"/>
    </w:pPr>
    <w:rPr>
      <w:sz w:val="21"/>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rPr>
      <w:rFonts w:ascii="Times New Roman" w:hAnsi="Times New Roman"/>
    </w:rPr>
  </w:style>
  <w:style w:type="paragraph" w:customStyle="1" w:styleId="1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1">
    <w:name w:val="Body Text Indent"/>
    <w:basedOn w:val="1"/>
    <w:qFormat/>
    <w:uiPriority w:val="0"/>
    <w:pPr>
      <w:spacing w:after="120"/>
      <w:ind w:left="420" w:leftChars="200"/>
    </w:pPr>
  </w:style>
  <w:style w:type="paragraph" w:styleId="12">
    <w:name w:val="Block Text"/>
    <w:basedOn w:val="1"/>
    <w:qFormat/>
    <w:uiPriority w:val="0"/>
    <w:pPr>
      <w:spacing w:after="120"/>
      <w:ind w:left="1440" w:leftChars="700" w:right="700" w:rightChars="700"/>
    </w:pPr>
  </w:style>
  <w:style w:type="paragraph" w:styleId="13">
    <w:name w:val="Plain Text"/>
    <w:basedOn w:val="1"/>
    <w:qFormat/>
    <w:uiPriority w:val="99"/>
    <w:rPr>
      <w:rFonts w:ascii="宋体" w:hAnsi="Courier New"/>
      <w:kern w:val="0"/>
      <w:sz w:val="20"/>
      <w:szCs w:val="20"/>
    </w:rPr>
  </w:style>
  <w:style w:type="paragraph" w:styleId="14">
    <w:name w:val="Body Text Indent 2"/>
    <w:basedOn w:val="1"/>
    <w:qFormat/>
    <w:uiPriority w:val="0"/>
    <w:pPr>
      <w:spacing w:after="120" w:line="480" w:lineRule="auto"/>
      <w:ind w:left="420" w:leftChars="200"/>
    </w:pPr>
    <w:rPr>
      <w:kern w:val="0"/>
      <w:sz w:val="20"/>
    </w:rPr>
  </w:style>
  <w:style w:type="paragraph" w:styleId="15">
    <w:name w:val="Balloon Text"/>
    <w:basedOn w:val="1"/>
    <w:link w:val="41"/>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rPr>
      <w:rFonts w:ascii="宋体" w:hAnsi="宋体"/>
      <w:szCs w:val="21"/>
    </w:rPr>
  </w:style>
  <w:style w:type="paragraph" w:styleId="19">
    <w:name w:val="toc 2"/>
    <w:basedOn w:val="1"/>
    <w:next w:val="1"/>
    <w:qFormat/>
    <w:uiPriority w:val="39"/>
    <w:pPr>
      <w:ind w:left="420" w:leftChars="200"/>
    </w:pPr>
  </w:style>
  <w:style w:type="paragraph" w:styleId="20">
    <w:name w:val="Message Header"/>
    <w:basedOn w:val="1"/>
    <w:next w:val="2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21">
    <w:name w:val="[宋四中]"/>
    <w:basedOn w:val="13"/>
    <w:qFormat/>
    <w:uiPriority w:val="0"/>
    <w:pPr>
      <w:jc w:val="center"/>
    </w:pPr>
    <w:rPr>
      <w:rFonts w:cs="Times New Roman"/>
      <w:sz w:val="24"/>
      <w:szCs w:val="22"/>
    </w:r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Body Text First Indent"/>
    <w:basedOn w:val="9"/>
    <w:next w:val="20"/>
    <w:qFormat/>
    <w:uiPriority w:val="0"/>
    <w:pPr>
      <w:ind w:firstLine="420" w:firstLineChars="100"/>
    </w:pPr>
    <w:rPr>
      <w:rFonts w:eastAsia="宋体"/>
    </w:rPr>
  </w:style>
  <w:style w:type="paragraph" w:styleId="24">
    <w:name w:val="Body Text First Indent 2"/>
    <w:basedOn w:val="11"/>
    <w:qFormat/>
    <w:uiPriority w:val="0"/>
    <w:pPr>
      <w:autoSpaceDE w:val="0"/>
      <w:autoSpaceDN w:val="0"/>
      <w:adjustRightInd w:val="0"/>
      <w:ind w:firstLine="420"/>
    </w:pPr>
  </w:style>
  <w:style w:type="table" w:styleId="2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FollowedHyperlink"/>
    <w:basedOn w:val="27"/>
    <w:qFormat/>
    <w:uiPriority w:val="0"/>
    <w:rPr>
      <w:color w:val="800080"/>
      <w:u w:val="none"/>
    </w:rPr>
  </w:style>
  <w:style w:type="character" w:styleId="30">
    <w:name w:val="HTML Definition"/>
    <w:basedOn w:val="27"/>
    <w:qFormat/>
    <w:uiPriority w:val="0"/>
  </w:style>
  <w:style w:type="character" w:styleId="31">
    <w:name w:val="HTML Typewriter"/>
    <w:basedOn w:val="27"/>
    <w:qFormat/>
    <w:uiPriority w:val="0"/>
    <w:rPr>
      <w:rFonts w:hint="default" w:ascii="monospace" w:hAnsi="monospace" w:eastAsia="monospace" w:cs="monospace"/>
      <w:sz w:val="20"/>
    </w:rPr>
  </w:style>
  <w:style w:type="character" w:styleId="32">
    <w:name w:val="HTML Acronym"/>
    <w:basedOn w:val="27"/>
    <w:qFormat/>
    <w:uiPriority w:val="0"/>
  </w:style>
  <w:style w:type="character" w:styleId="33">
    <w:name w:val="HTML Variable"/>
    <w:basedOn w:val="27"/>
    <w:qFormat/>
    <w:uiPriority w:val="0"/>
  </w:style>
  <w:style w:type="character" w:styleId="34">
    <w:name w:val="Hyperlink"/>
    <w:basedOn w:val="27"/>
    <w:qFormat/>
    <w:uiPriority w:val="0"/>
    <w:rPr>
      <w:color w:val="0000FF"/>
      <w:u w:val="none"/>
    </w:rPr>
  </w:style>
  <w:style w:type="character" w:styleId="35">
    <w:name w:val="HTML Code"/>
    <w:basedOn w:val="27"/>
    <w:qFormat/>
    <w:uiPriority w:val="0"/>
    <w:rPr>
      <w:rFonts w:hint="default" w:ascii="monospace" w:hAnsi="monospace" w:eastAsia="monospace" w:cs="monospace"/>
      <w:sz w:val="20"/>
    </w:rPr>
  </w:style>
  <w:style w:type="character" w:styleId="36">
    <w:name w:val="annotation reference"/>
    <w:basedOn w:val="27"/>
    <w:qFormat/>
    <w:uiPriority w:val="0"/>
    <w:rPr>
      <w:sz w:val="21"/>
      <w:szCs w:val="21"/>
    </w:rPr>
  </w:style>
  <w:style w:type="character" w:styleId="37">
    <w:name w:val="HTML Cite"/>
    <w:basedOn w:val="27"/>
    <w:qFormat/>
    <w:uiPriority w:val="0"/>
  </w:style>
  <w:style w:type="character" w:styleId="38">
    <w:name w:val="HTML Keyboard"/>
    <w:basedOn w:val="27"/>
    <w:qFormat/>
    <w:uiPriority w:val="0"/>
    <w:rPr>
      <w:rFonts w:hint="default" w:ascii="monospace" w:hAnsi="monospace" w:eastAsia="monospace" w:cs="monospace"/>
      <w:sz w:val="20"/>
    </w:rPr>
  </w:style>
  <w:style w:type="character" w:styleId="39">
    <w:name w:val="HTML Sample"/>
    <w:basedOn w:val="27"/>
    <w:qFormat/>
    <w:uiPriority w:val="0"/>
    <w:rPr>
      <w:rFonts w:ascii="monospace" w:hAnsi="monospace" w:eastAsia="monospace" w:cs="monospace"/>
    </w:rPr>
  </w:style>
  <w:style w:type="paragraph" w:customStyle="1" w:styleId="40">
    <w:name w:val="正文首行缩进1"/>
    <w:basedOn w:val="1"/>
    <w:qFormat/>
    <w:uiPriority w:val="99"/>
    <w:pPr>
      <w:spacing w:after="120"/>
      <w:ind w:firstLine="420" w:firstLineChars="100"/>
    </w:pPr>
  </w:style>
  <w:style w:type="character" w:customStyle="1" w:styleId="41">
    <w:name w:val="批注框文本 字符"/>
    <w:basedOn w:val="27"/>
    <w:link w:val="15"/>
    <w:qFormat/>
    <w:uiPriority w:val="0"/>
    <w:rPr>
      <w:rFonts w:asciiTheme="minorHAnsi" w:hAnsiTheme="minorHAnsi" w:eastAsiaTheme="minorEastAsia" w:cstheme="minorBidi"/>
      <w:kern w:val="2"/>
      <w:sz w:val="18"/>
      <w:szCs w:val="18"/>
    </w:rPr>
  </w:style>
  <w:style w:type="paragraph" w:customStyle="1" w:styleId="42">
    <w:name w:val="正文_69_0"/>
    <w:next w:val="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7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70_0"/>
    <w:next w:val="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7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71_0"/>
    <w:next w:val="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71_1"/>
    <w:next w:val="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7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51">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52">
    <w:name w:val="p0"/>
    <w:basedOn w:val="1"/>
    <w:qFormat/>
    <w:uiPriority w:val="0"/>
    <w:pPr>
      <w:widowControl/>
    </w:pPr>
    <w:rPr>
      <w:rFonts w:ascii="Times New Roman" w:hAnsi="Times New Roman" w:eastAsia="宋体" w:cs="Times New Roman"/>
      <w:kern w:val="0"/>
      <w:szCs w:val="21"/>
    </w:rPr>
  </w:style>
  <w:style w:type="paragraph" w:styleId="53">
    <w:name w:val="List Paragraph"/>
    <w:basedOn w:val="1"/>
    <w:unhideWhenUsed/>
    <w:qFormat/>
    <w:uiPriority w:val="0"/>
    <w:pPr>
      <w:ind w:firstLine="420" w:firstLineChars="200"/>
    </w:pPr>
  </w:style>
  <w:style w:type="paragraph" w:customStyle="1" w:styleId="54">
    <w:name w:val="WPSOffice手动目录 1"/>
    <w:qFormat/>
    <w:uiPriority w:val="0"/>
    <w:pPr>
      <w:ind w:leftChars="0"/>
    </w:pPr>
    <w:rPr>
      <w:rFonts w:ascii="Times New Roman" w:hAnsi="Times New Roman" w:eastAsia="宋体" w:cs="Times New Roman"/>
      <w:sz w:val="20"/>
      <w:szCs w:val="20"/>
    </w:rPr>
  </w:style>
  <w:style w:type="paragraph" w:customStyle="1" w:styleId="55">
    <w:name w:val="zhang"/>
    <w:basedOn w:val="1"/>
    <w:qFormat/>
    <w:uiPriority w:val="0"/>
    <w:pPr>
      <w:spacing w:before="100" w:beforeAutospacing="1" w:after="100" w:afterAutospacing="1"/>
    </w:pPr>
    <w:rPr>
      <w:b/>
      <w:bCs/>
      <w:smallCaps/>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874</Words>
  <Characters>4987</Characters>
  <Lines>41</Lines>
  <Paragraphs>11</Paragraphs>
  <TotalTime>2</TotalTime>
  <ScaleCrop>false</ScaleCrop>
  <LinksUpToDate>false</LinksUpToDate>
  <CharactersWithSpaces>5850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2022-02-24T08:27:00Z</dcterms:created>
  <dc:creator>hnxq</dc:creator>
  <cp:lastModifiedBy>范范</cp:lastModifiedBy>
  <cp:lastPrinted>2022-03-01T07:26:00Z</cp:lastPrinted>
  <dcterms:modified xsi:type="dcterms:W3CDTF">2024-05-31T01:12:06Z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0CB2FFFCCC0D40C0884B5C3402EF3A69_13</vt:lpwstr>
  </property>
</Properties>
</file>